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92F51" w:rsidTr="00892F51">
        <w:trPr>
          <w:trHeight w:val="169"/>
        </w:trPr>
        <w:tc>
          <w:tcPr>
            <w:tcW w:w="9912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51" w:rsidRDefault="00892F51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Call for Papers</w:t>
            </w:r>
          </w:p>
          <w:p w:rsidR="008F76E7" w:rsidRDefault="008F76E7" w:rsidP="008F76E7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The First International Conference for School as Learning Community</w:t>
            </w:r>
          </w:p>
          <w:p w:rsidR="008F76E7" w:rsidRDefault="008F76E7" w:rsidP="008F76E7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 xml:space="preserve">                       March 8-10, 2014</w:t>
            </w:r>
          </w:p>
          <w:p w:rsidR="008F76E7" w:rsidRDefault="008F76E7" w:rsidP="008F76E7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Gakushuin</w:t>
            </w:r>
            <w:proofErr w:type="spellEnd"/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 xml:space="preserve"> University, Tokyo, Japan</w:t>
            </w:r>
          </w:p>
          <w:p w:rsidR="008F76E7" w:rsidRDefault="008F76E7" w:rsidP="008F76E7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</w:p>
          <w:p w:rsidR="00892F51" w:rsidRDefault="00892F51" w:rsidP="008F76E7">
            <w:pPr>
              <w:spacing w:before="240" w:after="240"/>
              <w:ind w:rightChars="39" w:right="94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with great pleasure that we invite you to attend the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First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International Conference for School as Learning Community 2014 which will be held at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Gakushuin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Universi</w:t>
            </w:r>
            <w:r w:rsidR="006A113B">
              <w:rPr>
                <w:rFonts w:ascii="Arial" w:hAnsi="Arial" w:cs="Arial"/>
                <w:sz w:val="22"/>
                <w:szCs w:val="22"/>
                <w:lang w:eastAsia="ja-JP"/>
              </w:rPr>
              <w:t xml:space="preserve">ty in Tokyo from March 8 to 10,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2014.</w:t>
            </w:r>
          </w:p>
          <w:p w:rsidR="006C648E" w:rsidRDefault="00892F51">
            <w:pPr>
              <w:pStyle w:val="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theme of the conference is "</w:t>
            </w:r>
            <w:r w:rsidR="0012551B">
              <w:rPr>
                <w:rFonts w:ascii="Arial" w:hAnsi="Arial" w:cs="Arial"/>
                <w:color w:val="000000"/>
              </w:rPr>
              <w:t>Educational Innovation through Renovating Schools to Learning Community in Asia</w:t>
            </w:r>
            <w:r w:rsidR="0012551B">
              <w:rPr>
                <w:rFonts w:ascii="Arial" w:hAnsi="Arial" w:cs="Arial"/>
                <w:sz w:val="22"/>
                <w:szCs w:val="22"/>
              </w:rPr>
              <w:t>", as we know school as learning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has </w:t>
            </w:r>
            <w:r w:rsidR="0012551B">
              <w:rPr>
                <w:rFonts w:ascii="Arial" w:hAnsi="Arial" w:cs="Arial"/>
                <w:sz w:val="22"/>
                <w:szCs w:val="22"/>
              </w:rPr>
              <w:t>drastically impacted on educational reform in all of the Asian countries</w:t>
            </w:r>
            <w:r>
              <w:rPr>
                <w:rFonts w:ascii="Arial" w:hAnsi="Arial" w:cs="Arial"/>
                <w:sz w:val="22"/>
                <w:szCs w:val="22"/>
              </w:rPr>
              <w:t xml:space="preserve">  and we, people who are concerned about </w:t>
            </w:r>
            <w:r w:rsidR="0012551B">
              <w:rPr>
                <w:rFonts w:ascii="Arial" w:hAnsi="Arial" w:cs="Arial"/>
                <w:sz w:val="22"/>
                <w:szCs w:val="22"/>
              </w:rPr>
              <w:t xml:space="preserve">human right of education for all </w:t>
            </w:r>
            <w:r>
              <w:rPr>
                <w:rFonts w:ascii="Arial" w:hAnsi="Arial" w:cs="Arial"/>
                <w:sz w:val="22"/>
                <w:szCs w:val="22"/>
              </w:rPr>
              <w:t>, are keen to know what this mea</w:t>
            </w:r>
            <w:r w:rsidR="0012551B">
              <w:rPr>
                <w:rFonts w:ascii="Arial" w:hAnsi="Arial" w:cs="Arial"/>
                <w:sz w:val="22"/>
                <w:szCs w:val="22"/>
              </w:rPr>
              <w:t>ns to democratization of schooling</w:t>
            </w:r>
            <w:r>
              <w:rPr>
                <w:rFonts w:ascii="Arial" w:hAnsi="Arial" w:cs="Arial"/>
                <w:sz w:val="22"/>
                <w:szCs w:val="22"/>
              </w:rPr>
              <w:t>. It is also ou</w:t>
            </w:r>
            <w:r w:rsidR="006C648E">
              <w:rPr>
                <w:rFonts w:ascii="Arial" w:hAnsi="Arial" w:cs="Arial"/>
                <w:sz w:val="22"/>
                <w:szCs w:val="22"/>
              </w:rPr>
              <w:t>r firm belief that practical research which integrate</w:t>
            </w:r>
            <w:r w:rsidR="006A113B">
              <w:rPr>
                <w:rFonts w:ascii="Arial" w:hAnsi="Arial" w:cs="Arial"/>
                <w:sz w:val="22"/>
                <w:szCs w:val="22"/>
              </w:rPr>
              <w:t>s</w:t>
            </w:r>
            <w:r w:rsidR="006C648E">
              <w:rPr>
                <w:rFonts w:ascii="Arial" w:hAnsi="Arial" w:cs="Arial"/>
                <w:sz w:val="22"/>
                <w:szCs w:val="22"/>
              </w:rPr>
              <w:t xml:space="preserve"> theory and practice in the reflective practice has been elaborated among the colleagues of this movement.</w:t>
            </w:r>
          </w:p>
          <w:p w:rsidR="00892F51" w:rsidRDefault="00892F51">
            <w:pPr>
              <w:pStyle w:val="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country in the process of such reforms can learn valuable lessons from the experiences, knowledge, and insig</w:t>
            </w:r>
            <w:r w:rsidR="006C648E">
              <w:rPr>
                <w:rFonts w:ascii="Arial" w:hAnsi="Arial" w:cs="Arial"/>
                <w:sz w:val="22"/>
                <w:szCs w:val="22"/>
              </w:rPr>
              <w:t xml:space="preserve">hts gained from others. In this conference, we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48E">
              <w:rPr>
                <w:rFonts w:ascii="Arial" w:hAnsi="Arial" w:cs="Arial"/>
                <w:sz w:val="22"/>
                <w:szCs w:val="22"/>
              </w:rPr>
              <w:t xml:space="preserve"> invited the leading professors from China, Korea, Taiwan, Japan, Indonesia and Vietnam, as keynote and plenary speakers. The first International Conference for Schoo</w:t>
            </w:r>
            <w:r w:rsidR="006A113B">
              <w:rPr>
                <w:rFonts w:ascii="Arial" w:hAnsi="Arial" w:cs="Arial"/>
                <w:sz w:val="22"/>
                <w:szCs w:val="22"/>
              </w:rPr>
              <w:t xml:space="preserve">l as Learning Community </w:t>
            </w:r>
            <w:r>
              <w:rPr>
                <w:rFonts w:ascii="Arial" w:hAnsi="Arial" w:cs="Arial"/>
                <w:sz w:val="22"/>
                <w:szCs w:val="22"/>
              </w:rPr>
              <w:t>2014 aims to provide a platfo</w:t>
            </w:r>
            <w:r w:rsidR="006C648E">
              <w:rPr>
                <w:rFonts w:ascii="Arial" w:hAnsi="Arial" w:cs="Arial"/>
                <w:sz w:val="22"/>
                <w:szCs w:val="22"/>
              </w:rPr>
              <w:t xml:space="preserve">rm for education </w:t>
            </w:r>
            <w:r>
              <w:rPr>
                <w:rFonts w:ascii="Arial" w:hAnsi="Arial" w:cs="Arial"/>
                <w:sz w:val="22"/>
                <w:szCs w:val="22"/>
              </w:rPr>
              <w:t>researchers and poli</w:t>
            </w:r>
            <w:r w:rsidR="006C648E">
              <w:rPr>
                <w:rFonts w:ascii="Arial" w:hAnsi="Arial" w:cs="Arial"/>
                <w:sz w:val="22"/>
                <w:szCs w:val="22"/>
              </w:rPr>
              <w:t>cy-makers throughout the Asian countries.</w:t>
            </w:r>
          </w:p>
          <w:p w:rsidR="002318F3" w:rsidRDefault="00892F51">
            <w:pPr>
              <w:spacing w:before="240" w:after="240" w:line="169" w:lineRule="atLeast"/>
              <w:ind w:rightChars="39" w:right="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are cordially invited to take part in this exciting international event, and to share your innovations, experiences, cutting-edge findings, best practices and visions of education reforms.</w:t>
            </w:r>
          </w:p>
          <w:p w:rsidR="002318F3" w:rsidRDefault="002318F3">
            <w:pPr>
              <w:spacing w:before="240" w:after="240" w:line="169" w:lineRule="atLeast"/>
              <w:ind w:rightChars="39" w:right="94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                     Manabu Sato, Ph.D.</w:t>
            </w:r>
          </w:p>
          <w:p w:rsidR="002318F3" w:rsidRDefault="002318F3">
            <w:pPr>
              <w:spacing w:before="240" w:after="240" w:line="169" w:lineRule="atLeast"/>
              <w:ind w:rightChars="39" w:right="94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            Director of the Organizing Committee of the First </w:t>
            </w:r>
          </w:p>
          <w:p w:rsidR="002318F3" w:rsidRDefault="002318F3" w:rsidP="002318F3">
            <w:pPr>
              <w:spacing w:before="240" w:after="240" w:line="169" w:lineRule="atLeast"/>
              <w:ind w:rightChars="39" w:right="94" w:firstLineChars="1100" w:firstLine="2420"/>
              <w:jc w:val="both"/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International Conference for School as Learning Community </w:t>
            </w:r>
          </w:p>
          <w:p w:rsidR="002318F3" w:rsidRPr="002318F3" w:rsidRDefault="002318F3">
            <w:pPr>
              <w:spacing w:before="240" w:after="240" w:line="169" w:lineRule="atLeast"/>
              <w:ind w:rightChars="39" w:right="94"/>
              <w:jc w:val="both"/>
              <w:rPr>
                <w:rFonts w:ascii="Arial" w:eastAsia="PMingLiU" w:hAnsi="Arial" w:cs="Arial" w:hint="eastAsia"/>
                <w:sz w:val="22"/>
                <w:szCs w:val="22"/>
              </w:rPr>
            </w:pPr>
          </w:p>
          <w:p w:rsidR="002318F3" w:rsidRDefault="002318F3">
            <w:pPr>
              <w:spacing w:before="240" w:after="240" w:line="169" w:lineRule="atLeast"/>
              <w:ind w:rightChars="39" w:right="94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Info: The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conference is managed just with English. The opening forum of keynote speeches on March 8 is arranged with English and Japanese by assistant of an impromptu translator.</w:t>
            </w:r>
          </w:p>
          <w:p w:rsidR="00797989" w:rsidRDefault="00797989" w:rsidP="00797989">
            <w:pPr>
              <w:pStyle w:val="2"/>
              <w:keepNext/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The detail information is described in the registration form.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Please contact us on the website of the International Platform for School as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Learning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community.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hyperlink r:id="rId6" w:history="1">
              <w:r w:rsidRPr="002454A7">
                <w:rPr>
                  <w:rStyle w:val="a3"/>
                  <w:rFonts w:ascii="Arial" w:eastAsia="Times New Roman" w:hAnsi="Arial" w:cs="Arial"/>
                  <w:sz w:val="22"/>
                  <w:szCs w:val="22"/>
                </w:rPr>
                <w:t>http://school-lc.com/</w:t>
              </w:r>
            </w:hyperlink>
          </w:p>
          <w:p w:rsidR="00797989" w:rsidRPr="00797989" w:rsidRDefault="00797989" w:rsidP="00797989">
            <w:pPr>
              <w:pStyle w:val="2"/>
              <w:keepNext/>
              <w:shd w:val="clear" w:color="auto" w:fill="FFFFFF"/>
              <w:rPr>
                <w:rFonts w:ascii="Arial" w:eastAsia="Times New Roman" w:hAnsi="Arial" w:cs="Arial" w:hint="eastAsi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892F51" w:rsidTr="00892F51">
        <w:trPr>
          <w:trHeight w:val="169"/>
        </w:trPr>
        <w:tc>
          <w:tcPr>
            <w:tcW w:w="9912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51" w:rsidRDefault="00892F51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lastRenderedPageBreak/>
              <w:t xml:space="preserve">Main-theme: </w:t>
            </w:r>
            <w:r w:rsidR="006C648E">
              <w:rPr>
                <w:rFonts w:ascii="Arial" w:hAnsi="Arial" w:cs="Arial"/>
                <w:b/>
                <w:bCs/>
                <w:sz w:val="22"/>
                <w:szCs w:val="22"/>
              </w:rPr>
              <w:t>Educational Innovation through renovating Schools to Learning Community</w:t>
            </w:r>
          </w:p>
          <w:p w:rsidR="003D086C" w:rsidRDefault="003D086C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</w:p>
          <w:p w:rsidR="00892F51" w:rsidRDefault="003D086C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Outline of Schedule</w:t>
            </w:r>
          </w:p>
          <w:p w:rsidR="003D086C" w:rsidRDefault="003D086C">
            <w:pP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Ｐゴシック" w:hAnsi="Times New Roman" w:hint="eastAsia"/>
                <w:sz w:val="20"/>
                <w:szCs w:val="20"/>
                <w:lang w:eastAsia="ja-JP"/>
              </w:rPr>
              <w:t>March 8</w:t>
            </w:r>
            <w: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  <w:t xml:space="preserve">  :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  <w:lang w:eastAsia="ja-JP"/>
              </w:rPr>
              <w:t xml:space="preserve"> Opening Remarks, Key Note Speeches</w:t>
            </w:r>
          </w:p>
          <w:p w:rsidR="003D086C" w:rsidRDefault="003D086C">
            <w:pP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  <w:t>March 9   Key Note and Plenary Speeches, Paper Presentations.</w:t>
            </w:r>
          </w:p>
          <w:p w:rsidR="003D086C" w:rsidRDefault="003D086C">
            <w:pP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  <w:t>March 10  School Visits (Optional)</w:t>
            </w:r>
          </w:p>
          <w:p w:rsidR="003D086C" w:rsidRDefault="003D086C">
            <w:pP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</w:pPr>
          </w:p>
        </w:tc>
      </w:tr>
      <w:tr w:rsidR="00892F51" w:rsidTr="00892F51">
        <w:trPr>
          <w:trHeight w:val="169"/>
        </w:trPr>
        <w:tc>
          <w:tcPr>
            <w:tcW w:w="9912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830" w:rsidRDefault="00892F51">
            <w:pPr>
              <w:spacing w:before="240" w:after="240"/>
              <w:ind w:rightChars="39" w:right="94"/>
              <w:rPr>
                <w:rFonts w:ascii="Arial" w:eastAsia="PMingLiU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Submission Guidelines:</w:t>
            </w:r>
            <w:r w:rsidR="00711532">
              <w:rPr>
                <w:rFonts w:ascii="Arial" w:hAnsi="Arial" w:cs="Arial" w:hint="eastAsia"/>
                <w:b/>
                <w:bCs/>
                <w:color w:val="BD268B"/>
                <w:sz w:val="22"/>
                <w:szCs w:val="22"/>
                <w:lang w:eastAsia="ja-JP"/>
              </w:rPr>
              <w:t xml:space="preserve">　</w:t>
            </w:r>
            <w:r w:rsidR="00711532">
              <w:rPr>
                <w:rFonts w:ascii="Arial" w:hAnsi="Arial" w:cs="Arial" w:hint="eastAsia"/>
                <w:b/>
                <w:bCs/>
                <w:color w:val="BD268B"/>
                <w:sz w:val="22"/>
                <w:szCs w:val="22"/>
                <w:lang w:eastAsia="ja-JP"/>
              </w:rPr>
              <w:t>Sessions</w:t>
            </w:r>
          </w:p>
          <w:p w:rsidR="00706830" w:rsidRPr="00711532" w:rsidRDefault="00706830">
            <w:pPr>
              <w:spacing w:before="240" w:after="240"/>
              <w:ind w:rightChars="39" w:right="94"/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</w:pP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Session A  Lesson Study of School as Learning Community (SLC)</w:t>
            </w:r>
          </w:p>
          <w:p w:rsidR="00706830" w:rsidRPr="00711532" w:rsidRDefault="00706830">
            <w:pPr>
              <w:spacing w:before="240" w:after="240"/>
              <w:ind w:rightChars="39" w:right="94"/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</w:pP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Sess</w:t>
            </w:r>
            <w:r w:rsidR="00323F83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ion B  Collaborative Learning of</w:t>
            </w: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 xml:space="preserve"> SLC</w:t>
            </w:r>
          </w:p>
          <w:p w:rsidR="00706830" w:rsidRPr="00711532" w:rsidRDefault="00706830">
            <w:pPr>
              <w:spacing w:before="240" w:after="240"/>
              <w:ind w:rightChars="39" w:right="94"/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</w:pP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Session C  Professional Development in SLC</w:t>
            </w:r>
          </w:p>
          <w:p w:rsidR="00706830" w:rsidRPr="00711532" w:rsidRDefault="00706830">
            <w:pPr>
              <w:spacing w:before="240" w:after="240"/>
              <w:ind w:rightChars="39" w:right="94"/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</w:pP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 xml:space="preserve">Session D  </w:t>
            </w:r>
            <w:r w:rsidR="00711532"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Leadership of School Reform in SLC</w:t>
            </w:r>
          </w:p>
          <w:p w:rsidR="00706830" w:rsidRPr="00711532" w:rsidRDefault="00706830">
            <w:pPr>
              <w:spacing w:before="240" w:after="240"/>
              <w:ind w:rightChars="39" w:right="94"/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</w:pPr>
            <w:r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>Session E</w:t>
            </w:r>
            <w:r w:rsidR="00711532" w:rsidRPr="00711532">
              <w:rPr>
                <w:rFonts w:ascii="HGP創英角ｺﾞｼｯｸUB" w:eastAsia="HGP創英角ｺﾞｼｯｸUB" w:hAnsi="HGP創英角ｺﾞｼｯｸUB" w:cs="Arial"/>
                <w:bCs/>
                <w:sz w:val="20"/>
                <w:szCs w:val="20"/>
                <w:lang w:eastAsia="ja-JP"/>
              </w:rPr>
              <w:t xml:space="preserve">  </w:t>
            </w:r>
            <w:r w:rsidR="00711532" w:rsidRPr="00711532">
              <w:rPr>
                <w:rFonts w:ascii="HGP創英角ｺﾞｼｯｸUB" w:eastAsia="HGP創英角ｺﾞｼｯｸUB" w:hAnsi="HGP創英角ｺﾞｼｯｸUB" w:cs="Arial" w:hint="eastAsia"/>
                <w:bCs/>
                <w:sz w:val="20"/>
                <w:szCs w:val="20"/>
                <w:lang w:eastAsia="ja-JP"/>
              </w:rPr>
              <w:t>Action Research of SLC</w:t>
            </w:r>
          </w:p>
          <w:p w:rsidR="00892F51" w:rsidRPr="00F05255" w:rsidRDefault="0057496F" w:rsidP="00F05255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 xml:space="preserve">Click Here </w:t>
            </w:r>
          </w:p>
        </w:tc>
      </w:tr>
      <w:tr w:rsidR="00892F51" w:rsidTr="00892F51">
        <w:trPr>
          <w:trHeight w:val="169"/>
        </w:trPr>
        <w:tc>
          <w:tcPr>
            <w:tcW w:w="9912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51" w:rsidRDefault="00892F51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t>Important Dates</w:t>
            </w:r>
          </w:p>
          <w:tbl>
            <w:tblPr>
              <w:tblW w:w="88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9"/>
              <w:gridCol w:w="2268"/>
            </w:tblGrid>
            <w:tr w:rsidR="00892F51">
              <w:trPr>
                <w:trHeight w:val="291"/>
              </w:trPr>
              <w:tc>
                <w:tcPr>
                  <w:tcW w:w="6629" w:type="dxa"/>
                  <w:shd w:val="clear" w:color="auto" w:fill="FFD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892F51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Events</w:t>
                  </w:r>
                </w:p>
              </w:tc>
              <w:tc>
                <w:tcPr>
                  <w:tcW w:w="2268" w:type="dxa"/>
                  <w:shd w:val="clear" w:color="auto" w:fill="FFD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892F51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892F51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550BBF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D</w:t>
                  </w:r>
                  <w:r w:rsidR="00892F51">
                    <w:rPr>
                      <w:rFonts w:ascii="Arial" w:hAnsi="Arial" w:cs="Arial"/>
                      <w:sz w:val="22"/>
                      <w:szCs w:val="22"/>
                    </w:rPr>
                    <w:t>eadline of abstract submission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C83294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  <w:lang w:eastAsia="ja-JP"/>
                    </w:rPr>
                    <w:t xml:space="preserve">5 </w:t>
                  </w:r>
                  <w:r w:rsidR="00B50F33"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  <w:t>February</w:t>
                  </w:r>
                </w:p>
              </w:tc>
            </w:tr>
            <w:tr w:rsidR="00892F51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892F51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Regular Registration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B50F33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  <w:lang w:eastAsia="ja-JP"/>
                    </w:rPr>
                    <w:t>15 February</w:t>
                  </w:r>
                </w:p>
              </w:tc>
            </w:tr>
            <w:tr w:rsidR="00892F51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892F51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2014 Conference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2F51" w:rsidRDefault="009272C0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  <w:lang w:eastAsia="ja-JP"/>
                    </w:rPr>
                    <w:t xml:space="preserve">8-10 March </w:t>
                  </w:r>
                </w:p>
              </w:tc>
            </w:tr>
          </w:tbl>
          <w:p w:rsidR="00892F51" w:rsidRDefault="00892F51">
            <w:pPr>
              <w:rPr>
                <w:rFonts w:ascii="Times New Roman" w:eastAsia="ＭＳ Ｐゴシック" w:hAnsi="Times New Roman"/>
                <w:sz w:val="20"/>
                <w:szCs w:val="20"/>
                <w:lang w:eastAsia="ja-JP"/>
              </w:rPr>
            </w:pPr>
          </w:p>
        </w:tc>
      </w:tr>
      <w:tr w:rsidR="00892F51" w:rsidRPr="009272C0" w:rsidTr="00892F51">
        <w:trPr>
          <w:trHeight w:val="169"/>
        </w:trPr>
        <w:tc>
          <w:tcPr>
            <w:tcW w:w="9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51" w:rsidRDefault="00892F51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D268B"/>
                <w:sz w:val="22"/>
                <w:szCs w:val="22"/>
              </w:rPr>
              <w:lastRenderedPageBreak/>
              <w:t>Contact Us:</w:t>
            </w:r>
          </w:p>
          <w:p w:rsidR="00F05255" w:rsidRDefault="00892F51">
            <w:pPr>
              <w:pStyle w:val="2"/>
              <w:keepNext/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Website:</w:t>
            </w:r>
            <w:r w:rsidR="00F0525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  <w:p w:rsidR="00892F51" w:rsidRDefault="00F05255">
            <w:pPr>
              <w:pStyle w:val="2"/>
              <w:keepNext/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International Platform for School as Learning Community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05255">
              <w:rPr>
                <w:rFonts w:ascii="Arial" w:eastAsia="Times New Roman" w:hAnsi="Arial" w:cs="Arial"/>
                <w:sz w:val="22"/>
                <w:szCs w:val="22"/>
              </w:rPr>
              <w:t>http://school-lc.com/</w:t>
            </w:r>
          </w:p>
          <w:p w:rsidR="00F05255" w:rsidRDefault="00892F51">
            <w:pPr>
              <w:pStyle w:val="2"/>
              <w:keepNext/>
              <w:shd w:val="clear" w:color="auto" w:fill="FFFFFF"/>
              <w:spacing w:after="240"/>
              <w:rPr>
                <w:rFonts w:ascii="Cambria" w:eastAsia="Times New Roman" w:hAnsi="Cambria" w:cs="Times New Roman"/>
                <w:b/>
                <w:bCs/>
                <w:sz w:val="48"/>
                <w:szCs w:val="48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Email:</w:t>
            </w:r>
            <w:r w:rsidR="009272C0">
              <w:rPr>
                <w:rFonts w:ascii="Cambria" w:eastAsia="Times New Roman" w:hAnsi="Cambria" w:cs="Times New Roman"/>
                <w:b/>
                <w:bCs/>
                <w:sz w:val="48"/>
                <w:szCs w:val="48"/>
                <w:lang w:val="en-GB"/>
              </w:rPr>
              <w:t xml:space="preserve"> </w:t>
            </w:r>
            <w:r w:rsidR="00F05255">
              <w:rPr>
                <w:rFonts w:ascii="Cambria" w:hAnsi="Cambria" w:cs="Times New Roman" w:hint="eastAsia"/>
                <w:b/>
                <w:bCs/>
                <w:sz w:val="48"/>
                <w:szCs w:val="48"/>
                <w:lang w:val="en-GB" w:eastAsia="ja-JP"/>
              </w:rPr>
              <w:t xml:space="preserve"> </w:t>
            </w:r>
            <w:hyperlink r:id="rId7" w:history="1">
              <w:r w:rsidR="00F05255">
                <w:rPr>
                  <w:rStyle w:val="a3"/>
                  <w:lang w:val="en"/>
                </w:rPr>
                <w:t>info@school-lc.com</w:t>
              </w:r>
            </w:hyperlink>
          </w:p>
          <w:p w:rsidR="00892F51" w:rsidRDefault="00892F51">
            <w:pPr>
              <w:pStyle w:val="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look forward to meetin</w:t>
            </w:r>
            <w:r w:rsidR="009272C0">
              <w:rPr>
                <w:rFonts w:ascii="Arial" w:hAnsi="Arial" w:cs="Arial"/>
                <w:sz w:val="22"/>
                <w:szCs w:val="22"/>
              </w:rPr>
              <w:t xml:space="preserve">g you at the First International Conference for School as Learning Community </w:t>
            </w:r>
            <w:r>
              <w:rPr>
                <w:rFonts w:ascii="Arial" w:hAnsi="Arial" w:cs="Arial"/>
                <w:sz w:val="22"/>
                <w:szCs w:val="22"/>
              </w:rPr>
              <w:t>2014.</w:t>
            </w:r>
          </w:p>
          <w:p w:rsidR="009272C0" w:rsidRDefault="00892F51" w:rsidP="009272C0">
            <w:pPr>
              <w:pStyle w:val="Web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Conference Secretariat</w:t>
            </w:r>
            <w:r w:rsidR="009272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9272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International Platform for School as Learning Community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  </w:t>
            </w:r>
          </w:p>
          <w:p w:rsidR="009272C0" w:rsidRPr="009272C0" w:rsidRDefault="009272C0" w:rsidP="009272C0">
            <w:pPr>
              <w:pStyle w:val="Web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8C07E9" w:rsidRDefault="008C07E9"/>
    <w:sectPr w:rsidR="008C0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16" w:rsidRDefault="00836016" w:rsidP="002318F3">
      <w:r>
        <w:separator/>
      </w:r>
    </w:p>
  </w:endnote>
  <w:endnote w:type="continuationSeparator" w:id="0">
    <w:p w:rsidR="00836016" w:rsidRDefault="00836016" w:rsidP="002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16" w:rsidRDefault="00836016" w:rsidP="002318F3">
      <w:r>
        <w:separator/>
      </w:r>
    </w:p>
  </w:footnote>
  <w:footnote w:type="continuationSeparator" w:id="0">
    <w:p w:rsidR="00836016" w:rsidRDefault="00836016" w:rsidP="0023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1"/>
    <w:rsid w:val="0006060B"/>
    <w:rsid w:val="0012551B"/>
    <w:rsid w:val="002318F3"/>
    <w:rsid w:val="00323F83"/>
    <w:rsid w:val="00376A18"/>
    <w:rsid w:val="003D086C"/>
    <w:rsid w:val="00453CAF"/>
    <w:rsid w:val="0047519B"/>
    <w:rsid w:val="005172AF"/>
    <w:rsid w:val="00550BBF"/>
    <w:rsid w:val="0057496F"/>
    <w:rsid w:val="005E6775"/>
    <w:rsid w:val="006230CE"/>
    <w:rsid w:val="006A113B"/>
    <w:rsid w:val="006C648E"/>
    <w:rsid w:val="00706830"/>
    <w:rsid w:val="00711532"/>
    <w:rsid w:val="00732E9A"/>
    <w:rsid w:val="00771692"/>
    <w:rsid w:val="00797989"/>
    <w:rsid w:val="007A75C4"/>
    <w:rsid w:val="007C6042"/>
    <w:rsid w:val="007D0899"/>
    <w:rsid w:val="00836016"/>
    <w:rsid w:val="00892F51"/>
    <w:rsid w:val="008B109C"/>
    <w:rsid w:val="008C07E9"/>
    <w:rsid w:val="008F76E7"/>
    <w:rsid w:val="009272C0"/>
    <w:rsid w:val="00B16D00"/>
    <w:rsid w:val="00B50F33"/>
    <w:rsid w:val="00C83294"/>
    <w:rsid w:val="00CC6DA4"/>
    <w:rsid w:val="00D45653"/>
    <w:rsid w:val="00DA6DCA"/>
    <w:rsid w:val="00F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83991-745B-4963-B5A7-98F309A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1"/>
    <w:rPr>
      <w:rFonts w:ascii="Calibri" w:hAnsi="Calibri" w:cs="Times New Roman"/>
      <w:kern w:val="0"/>
      <w:sz w:val="24"/>
      <w:szCs w:val="24"/>
      <w:lang w:eastAsia="zh-TW"/>
    </w:rPr>
  </w:style>
  <w:style w:type="paragraph" w:styleId="2">
    <w:name w:val="heading 2"/>
    <w:basedOn w:val="a"/>
    <w:link w:val="20"/>
    <w:uiPriority w:val="99"/>
    <w:unhideWhenUsed/>
    <w:qFormat/>
    <w:rsid w:val="00892F51"/>
    <w:pPr>
      <w:outlineLvl w:val="1"/>
    </w:pPr>
    <w:rPr>
      <w:rFonts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892F51"/>
    <w:rPr>
      <w:rFonts w:ascii="Calibri" w:hAnsi="Calibri" w:cs="ＭＳ Ｐゴシック"/>
      <w:kern w:val="0"/>
      <w:sz w:val="24"/>
      <w:szCs w:val="24"/>
      <w:lang w:eastAsia="zh-TW"/>
    </w:rPr>
  </w:style>
  <w:style w:type="character" w:styleId="a3">
    <w:name w:val="Hyperlink"/>
    <w:basedOn w:val="a0"/>
    <w:uiPriority w:val="99"/>
    <w:unhideWhenUsed/>
    <w:rsid w:val="00892F5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92F5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23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8F3"/>
    <w:rPr>
      <w:rFonts w:ascii="Calibri" w:hAnsi="Calibri" w:cs="Times New Roman"/>
      <w:kern w:val="0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23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8F3"/>
    <w:rPr>
      <w:rFonts w:ascii="Calibri" w:hAnsi="Calibri" w:cs="Times New Roman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chool-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l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manabusato101@aol.com</dc:creator>
  <cp:keywords/>
  <dc:description/>
  <cp:lastModifiedBy>manabusato101@aol.com</cp:lastModifiedBy>
  <cp:revision>17</cp:revision>
  <dcterms:created xsi:type="dcterms:W3CDTF">2013-12-09T04:19:00Z</dcterms:created>
  <dcterms:modified xsi:type="dcterms:W3CDTF">2013-12-22T03:04:00Z</dcterms:modified>
</cp:coreProperties>
</file>