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B372E" w:rsidRPr="0089603C" w14:paraId="50A39C11" w14:textId="77777777" w:rsidTr="00821073">
        <w:trPr>
          <w:trHeight w:val="169"/>
        </w:trPr>
        <w:tc>
          <w:tcPr>
            <w:tcW w:w="8504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290D" w14:textId="77777777" w:rsidR="008863C8" w:rsidRPr="003167FF" w:rsidRDefault="004B372E" w:rsidP="008D5C41">
            <w:pPr>
              <w:spacing w:before="240" w:after="240"/>
              <w:ind w:left="840" w:rightChars="39" w:right="94" w:hanging="840"/>
              <w:rPr>
                <w:rStyle w:val="a3"/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  <w:t>Call for Papers</w:t>
            </w:r>
            <w:r w:rsidR="008863C8"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  <w:u w:val="single"/>
                <w:lang w:val="en"/>
              </w:rPr>
              <w:fldChar w:fldCharType="begin"/>
            </w:r>
            <w:r w:rsidR="008863C8"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  <w:u w:val="single"/>
                <w:lang w:val="en"/>
              </w:rPr>
              <w:instrText xml:space="preserve"> HYPERLINK "http://school-lc.com/news/international-conference-march-2014/program-of-the-first-international-conference-for-the-school-as-learning-community-march-8-10-2014/287/" </w:instrText>
            </w:r>
            <w:r w:rsidR="008863C8"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  <w:u w:val="single"/>
                <w:lang w:val="en"/>
              </w:rPr>
              <w:fldChar w:fldCharType="separate"/>
            </w:r>
          </w:p>
          <w:p w14:paraId="4FBFD886" w14:textId="236C3CAD" w:rsidR="008863C8" w:rsidRPr="003167FF" w:rsidRDefault="00447D53" w:rsidP="003167FF">
            <w:pPr>
              <w:spacing w:before="240" w:after="240"/>
              <w:ind w:rightChars="39" w:right="94"/>
              <w:rPr>
                <w:rStyle w:val="a3"/>
                <w:rFonts w:ascii="Arial" w:hAnsi="Arial" w:cs="Arial"/>
                <w:b/>
                <w:bCs/>
                <w:kern w:val="2"/>
                <w:sz w:val="28"/>
                <w:szCs w:val="28"/>
                <w:u w:val="none"/>
              </w:rPr>
            </w:pPr>
            <w:r w:rsidRPr="003167FF">
              <w:rPr>
                <w:rStyle w:val="a3"/>
                <w:rFonts w:ascii="Arial" w:hAnsi="Arial" w:cs="Arial" w:hint="eastAsia"/>
                <w:b/>
                <w:bCs/>
                <w:kern w:val="2"/>
                <w:sz w:val="28"/>
                <w:szCs w:val="28"/>
                <w:u w:val="none"/>
                <w:lang w:eastAsia="ja-JP"/>
              </w:rPr>
              <w:t>Inquiry and Collaboration Both in Classroom and Staff Room</w:t>
            </w:r>
          </w:p>
          <w:p w14:paraId="6838BB24" w14:textId="77777777" w:rsidR="003167FF" w:rsidRDefault="008863C8" w:rsidP="00580E7C">
            <w:pPr>
              <w:spacing w:before="240" w:after="240"/>
              <w:ind w:left="840" w:rightChars="39" w:right="94" w:hanging="840"/>
              <w:jc w:val="center"/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</w:rPr>
            </w:pPr>
            <w:r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  <w:u w:val="single"/>
              </w:rPr>
              <w:fldChar w:fldCharType="end"/>
            </w:r>
            <w:r w:rsidR="00447D53"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</w:rPr>
              <w:t>October 15-17, 2019, EDUCA 2019,</w:t>
            </w:r>
            <w:r w:rsidR="003167FF"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</w:rPr>
              <w:t xml:space="preserve"> </w:t>
            </w:r>
            <w:r w:rsidR="003167FF" w:rsidRPr="003167FF">
              <w:rPr>
                <w:rFonts w:ascii="Arial" w:hAnsi="Arial" w:cs="Arial" w:hint="eastAsia"/>
                <w:b/>
                <w:bCs/>
                <w:color w:val="BD268B"/>
                <w:kern w:val="2"/>
                <w:sz w:val="28"/>
                <w:szCs w:val="28"/>
                <w:lang w:eastAsia="ja-JP"/>
              </w:rPr>
              <w:t>I</w:t>
            </w:r>
            <w:r w:rsidR="003167FF"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  <w:lang w:eastAsia="ja-JP"/>
              </w:rPr>
              <w:t>mpact Forum,</w:t>
            </w:r>
            <w:r w:rsidR="00447D53"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</w:rPr>
              <w:t xml:space="preserve"> </w:t>
            </w:r>
          </w:p>
          <w:p w14:paraId="0DE26FBD" w14:textId="4742C97E" w:rsidR="004B372E" w:rsidRPr="003167FF" w:rsidRDefault="00447D53" w:rsidP="00580E7C">
            <w:pPr>
              <w:spacing w:before="240" w:after="240"/>
              <w:ind w:left="840" w:rightChars="39" w:right="94" w:hanging="840"/>
              <w:jc w:val="center"/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  <w:lang w:eastAsia="ja-JP"/>
              </w:rPr>
            </w:pPr>
            <w:r w:rsidRPr="003167FF">
              <w:rPr>
                <w:rFonts w:ascii="Arial" w:hAnsi="Arial" w:cs="Arial"/>
                <w:b/>
                <w:bCs/>
                <w:color w:val="BD268B"/>
                <w:kern w:val="2"/>
                <w:sz w:val="28"/>
                <w:szCs w:val="28"/>
              </w:rPr>
              <w:t>Bangkok, Thailand</w:t>
            </w:r>
          </w:p>
          <w:p w14:paraId="42E55E15" w14:textId="77777777" w:rsidR="008D5C41" w:rsidRPr="0089603C" w:rsidRDefault="008D5C41" w:rsidP="008D5C41">
            <w:pPr>
              <w:spacing w:before="240" w:after="240"/>
              <w:ind w:leftChars="50" w:left="120" w:rightChars="39" w:right="94" w:firstLineChars="350" w:firstLine="773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It is with great pleasure that we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invite you to attend </w:t>
            </w:r>
            <w:proofErr w:type="gramStart"/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The</w:t>
            </w:r>
            <w:proofErr w:type="gramEnd"/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7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vertAlign w:val="superscript"/>
                <w:lang w:val="en"/>
              </w:rPr>
              <w:t>th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International </w:t>
            </w:r>
            <w:r w:rsidR="00743F58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Conference of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S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chool as Learning Community 201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9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which will be 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held 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as </w:t>
            </w:r>
            <w:r w:rsidR="002722B0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the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main part of EDUCA 2019 in Bangkok, Thailand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from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October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1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5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="00A749BA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to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17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.</w:t>
            </w:r>
          </w:p>
          <w:p w14:paraId="74571CD9" w14:textId="77777777" w:rsidR="002C3D31" w:rsidRPr="0089603C" w:rsidRDefault="002C3D31" w:rsidP="008D5C41">
            <w:pPr>
              <w:spacing w:before="240" w:after="240"/>
              <w:ind w:leftChars="50" w:left="120" w:rightChars="39" w:right="94" w:firstLineChars="350" w:firstLine="773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</w:pPr>
            <w:r w:rsidRPr="0089603C">
              <w:rPr>
                <w:rFonts w:ascii="Arial" w:hAnsi="Arial" w:cs="Arial" w:hint="eastAsia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O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ctober 15: School Visit</w:t>
            </w:r>
          </w:p>
          <w:p w14:paraId="4CFAAD23" w14:textId="77777777" w:rsidR="002C3D31" w:rsidRPr="0089603C" w:rsidRDefault="002C3D31" w:rsidP="008D5C41">
            <w:pPr>
              <w:spacing w:before="240" w:after="240"/>
              <w:ind w:leftChars="50" w:left="120" w:rightChars="39" w:right="94" w:firstLineChars="350" w:firstLine="773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</w:pPr>
            <w:r w:rsidRPr="0089603C">
              <w:rPr>
                <w:rFonts w:ascii="Arial" w:hAnsi="Arial" w:cs="Arial" w:hint="eastAsia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O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ctober 16</w:t>
            </w:r>
            <w:r w:rsidR="002722B0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: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 xml:space="preserve"> Keynote Speeches: The first day of EDUCA</w:t>
            </w:r>
          </w:p>
          <w:p w14:paraId="47D0FEBE" w14:textId="25EA2A79" w:rsidR="002C3D31" w:rsidRPr="0089603C" w:rsidRDefault="002C3D31" w:rsidP="002C3D31">
            <w:pPr>
              <w:spacing w:before="240" w:after="240"/>
              <w:ind w:leftChars="400" w:left="2175" w:rightChars="39" w:right="94" w:hangingChars="550" w:hanging="1215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</w:pPr>
            <w:r w:rsidRPr="0089603C">
              <w:rPr>
                <w:rFonts w:ascii="Arial" w:hAnsi="Arial" w:cs="Arial" w:hint="eastAsia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O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 xml:space="preserve">ctober 17: Plenary </w:t>
            </w:r>
            <w:r w:rsidR="002759F9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Symposium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 xml:space="preserve">, </w:t>
            </w:r>
            <w:proofErr w:type="spellStart"/>
            <w:r w:rsidR="004D2B6B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Pararell</w:t>
            </w:r>
            <w:proofErr w:type="spellEnd"/>
            <w:r w:rsidR="004D2B6B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 xml:space="preserve">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Sessions and Closing Remark: The second day of EDUCA</w:t>
            </w:r>
          </w:p>
          <w:p w14:paraId="37C98F7F" w14:textId="77777777" w:rsidR="008D5C41" w:rsidRPr="0089603C" w:rsidRDefault="008D5C41" w:rsidP="008D5C41">
            <w:pPr>
              <w:spacing w:before="240" w:after="240"/>
              <w:ind w:leftChars="50" w:left="120" w:rightChars="39" w:right="94" w:firstLineChars="300" w:firstLine="663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The theme of the co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nference is “</w:t>
            </w:r>
            <w:r w:rsidR="00946C02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Inquiry and Collaboration Both in Classroom and Staff Room</w:t>
            </w:r>
            <w:r w:rsidR="00743F58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”. As you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know school as learning community has drastically impacted on school reform in </w:t>
            </w:r>
            <w:proofErr w:type="gramStart"/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all of</w:t>
            </w:r>
            <w:proofErr w:type="gramEnd"/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the Asian countries during the past</w:t>
            </w:r>
            <w:r w:rsidR="00743F58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two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decade</w:t>
            </w:r>
            <w:r w:rsidR="00743F58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s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. We, people who are concerned about </w:t>
            </w:r>
            <w:r w:rsidR="002722B0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the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human right of education for all, are keen to know what this means to </w:t>
            </w:r>
            <w:r w:rsidR="002722B0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the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democratization of schooling. It is also our firm belief that practical research which integrates theory and practice in the reflective practice has been elaborated among the colleagues of this movement.</w:t>
            </w:r>
          </w:p>
          <w:p w14:paraId="4A92D81F" w14:textId="7DE45229" w:rsidR="00064A19" w:rsidRPr="0089603C" w:rsidRDefault="00064A19" w:rsidP="008D5C41">
            <w:pPr>
              <w:spacing w:before="240" w:after="240"/>
              <w:ind w:leftChars="50" w:left="120" w:rightChars="39" w:right="94" w:firstLineChars="300" w:firstLine="663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In addition, SLC has pursued both of quality and equality in learning. We proclaim a robust cannon that both are inter-supportive and inter-dependent each other through enhanced inquiry and collaboration based on listening pedagogy. Inquiry is promoted with </w:t>
            </w:r>
            <w:r w:rsidR="004D2B6B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the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deliberation of reflection, which is </w:t>
            </w:r>
            <w:r w:rsidR="002C3D31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facilitated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by </w:t>
            </w:r>
            <w:r w:rsidR="002722B0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a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collaboration of diversity.</w:t>
            </w:r>
          </w:p>
          <w:p w14:paraId="7E7A070F" w14:textId="0DE7147A" w:rsidR="008D5C41" w:rsidRPr="0089603C" w:rsidRDefault="008D5C41" w:rsidP="008D5C41">
            <w:pPr>
              <w:spacing w:before="240" w:after="240"/>
              <w:ind w:leftChars="50" w:left="120" w:rightChars="39" w:right="94" w:firstLineChars="300" w:firstLine="663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Every country in the process of such reforms can learn valuable lessons from the experiences, knowledge, and insights gained from others. In this conference, we invited the leading professors from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The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United Kingdom,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China, Korea, Taiwan, </w:t>
            </w:r>
            <w:r w:rsidR="003700E4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Singapore, Indonesia,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Vietnam,</w:t>
            </w:r>
            <w:r w:rsidR="003700E4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Thailand</w:t>
            </w:r>
            <w:r w:rsidR="00DE26E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, </w:t>
            </w:r>
            <w:r w:rsidR="00DE26E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lastRenderedPageBreak/>
              <w:t>Mexico</w:t>
            </w:r>
            <w:r w:rsidR="004D2B6B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,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and 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Japan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, as key</w:t>
            </w:r>
            <w:r w:rsidR="00743F58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n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ote and plenary speakers. The </w:t>
            </w:r>
            <w:r w:rsidR="00DE26E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7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th</w:t>
            </w:r>
            <w:r w:rsidR="00743F58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International Conference of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School as Learning Community 201</w:t>
            </w:r>
            <w:r w:rsidR="00DE26E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9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aims to provide a platform for education researchers and </w:t>
            </w:r>
            <w:proofErr w:type="gramStart"/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policy-makers</w:t>
            </w:r>
            <w:proofErr w:type="gramEnd"/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throughout the Asian countries.</w:t>
            </w:r>
          </w:p>
          <w:p w14:paraId="2A6DB693" w14:textId="77777777" w:rsidR="008D5C41" w:rsidRPr="0089603C" w:rsidRDefault="008D5C41" w:rsidP="00743F58">
            <w:pPr>
              <w:spacing w:before="240" w:after="240"/>
              <w:ind w:leftChars="50" w:left="120" w:rightChars="39" w:right="94" w:firstLineChars="300" w:firstLine="663"/>
              <w:rPr>
                <w:rFonts w:ascii="Arial" w:eastAsia="PMingLiU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You are cordially invited to take part in this exciting international event, and to share your innovations, experiences, cutting-edge findings, best practices and visions of education reforms.</w:t>
            </w:r>
          </w:p>
          <w:p w14:paraId="4E01DD13" w14:textId="77777777" w:rsidR="004B372E" w:rsidRPr="0089603C" w:rsidRDefault="008D5C41" w:rsidP="002722B0">
            <w:pPr>
              <w:spacing w:before="240" w:after="240"/>
              <w:ind w:left="840" w:rightChars="39" w:right="94" w:hanging="840"/>
              <w:jc w:val="right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</w:pPr>
            <w:r w:rsidRPr="0089603C">
              <w:rPr>
                <w:rFonts w:ascii="Arial" w:hAnsi="Arial" w:cs="Arial" w:hint="eastAsia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T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he O</w:t>
            </w:r>
            <w:r w:rsidR="00EC7E8F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rganizing Committee </w:t>
            </w:r>
            <w:r w:rsidR="002722B0" w:rsidRPr="0089603C">
              <w:rPr>
                <w:rFonts w:ascii="Arial" w:eastAsia="PMingLiU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br/>
            </w:r>
            <w:r w:rsidR="00EC7E8F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for</w:t>
            </w:r>
            <w:r w:rsidR="00217ED7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the </w:t>
            </w:r>
            <w:r w:rsidR="00DE26E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7</w:t>
            </w:r>
            <w:r w:rsidR="00580E7C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vertAlign w:val="superscript"/>
                <w:lang w:val="en"/>
              </w:rPr>
              <w:t>th</w:t>
            </w:r>
            <w:r w:rsidR="002722B0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International Conference </w:t>
            </w:r>
            <w:r w:rsidR="002722B0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br/>
            </w:r>
            <w:r w:rsidRPr="0089603C">
              <w:rPr>
                <w:rFonts w:ascii="Arial" w:hAnsi="Arial" w:cs="Arial" w:hint="eastAsia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>of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/>
              </w:rPr>
              <w:t xml:space="preserve"> School as Learnin</w:t>
            </w:r>
            <w:r w:rsidRPr="0089603C">
              <w:rPr>
                <w:rFonts w:ascii="Arial" w:hAnsi="Arial" w:cs="Arial" w:hint="eastAsia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>g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val="en" w:eastAsia="ja-JP"/>
              </w:rPr>
              <w:t xml:space="preserve"> Community</w:t>
            </w:r>
          </w:p>
          <w:p w14:paraId="388AFA2B" w14:textId="77777777" w:rsidR="004B372E" w:rsidRPr="0089603C" w:rsidRDefault="004B372E" w:rsidP="008D5C41">
            <w:pPr>
              <w:spacing w:before="240" w:after="240" w:line="169" w:lineRule="atLeast"/>
              <w:ind w:rightChars="39" w:right="94"/>
              <w:jc w:val="both"/>
              <w:rPr>
                <w:rFonts w:ascii="Arial" w:eastAsia="PMingLiU" w:hAnsi="Arial" w:cs="Arial"/>
                <w:kern w:val="2"/>
                <w:sz w:val="22"/>
                <w:szCs w:val="22"/>
                <w:lang w:val="en"/>
              </w:rPr>
            </w:pPr>
          </w:p>
          <w:p w14:paraId="46AC1C69" w14:textId="0A606EBA" w:rsidR="004B372E" w:rsidRPr="0089603C" w:rsidRDefault="004B372E" w:rsidP="008D5C41">
            <w:pPr>
              <w:spacing w:before="240" w:after="240" w:line="169" w:lineRule="atLeast"/>
              <w:ind w:leftChars="50" w:left="120" w:rightChars="39" w:right="94"/>
              <w:jc w:val="both"/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Info: The conference is managed just with English. The opening foru</w:t>
            </w:r>
            <w:r w:rsidR="0058326A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m of keynote sp</w:t>
            </w:r>
            <w:r w:rsidR="00743F58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eeches and plenary symposiums</w:t>
            </w:r>
            <w:r w:rsidR="0058326A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are</w:t>
            </w:r>
            <w:r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ar</w:t>
            </w:r>
            <w:r w:rsidR="00573FF9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ranged with English and</w:t>
            </w:r>
            <w:r w:rsidR="00E6782C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Thai</w:t>
            </w:r>
            <w:r w:rsidR="006F0346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</w:t>
            </w:r>
            <w:r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by </w:t>
            </w:r>
            <w:r w:rsidR="002722B0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the </w:t>
            </w:r>
            <w:r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assistant of an impromptu translator.</w:t>
            </w:r>
            <w:r w:rsidR="00E6782C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And </w:t>
            </w:r>
            <w:r w:rsidR="00D11A3D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just one parallel</w:t>
            </w:r>
            <w:r w:rsidR="00E6782C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session will be arranged </w:t>
            </w:r>
            <w:r w:rsidR="00103028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with </w:t>
            </w:r>
            <w:r w:rsidR="004D2B6B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the </w:t>
            </w:r>
            <w:r w:rsidR="00103028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Thai language only.</w:t>
            </w:r>
          </w:p>
          <w:p w14:paraId="53CACB59" w14:textId="74A337B5" w:rsidR="00573FF9" w:rsidRPr="0089603C" w:rsidRDefault="004B372E" w:rsidP="00A23B12">
            <w:pPr>
              <w:pStyle w:val="2"/>
              <w:keepNext/>
              <w:shd w:val="clear" w:color="auto" w:fill="FFFFFF"/>
              <w:ind w:leftChars="50" w:left="120"/>
              <w:rPr>
                <w:rFonts w:ascii="Arial" w:eastAsia="PMingLiU" w:hAnsi="Arial" w:cs="Arial"/>
                <w:kern w:val="2"/>
                <w:sz w:val="22"/>
                <w:szCs w:val="22"/>
              </w:rPr>
            </w:pPr>
            <w:r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The detail information is described in the registration form. Please contact us on the website of </w:t>
            </w:r>
            <w:r w:rsidR="00A23B12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SLC as a part of EDUCA website, which is accessible through a link of </w:t>
            </w:r>
            <w:r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the International</w:t>
            </w:r>
            <w:r w:rsidR="0058326A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Platform for School as learning</w:t>
            </w:r>
            <w:r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 xml:space="preserve"> commu</w:t>
            </w:r>
            <w:r w:rsidR="00A23B12" w:rsidRPr="0089603C">
              <w:rPr>
                <w:rFonts w:ascii="Arial" w:hAnsi="Arial" w:cs="Arial"/>
                <w:kern w:val="2"/>
                <w:sz w:val="22"/>
                <w:szCs w:val="22"/>
                <w:lang w:eastAsia="ja-JP"/>
              </w:rPr>
              <w:t>nity.</w:t>
            </w:r>
            <w:r w:rsidRPr="0089603C">
              <w:rPr>
                <w:rFonts w:ascii="Arial" w:eastAsia="Times New Roman" w:hAnsi="Arial" w:cs="Arial"/>
                <w:kern w:val="2"/>
                <w:sz w:val="22"/>
                <w:szCs w:val="22"/>
              </w:rPr>
              <w:t xml:space="preserve">  </w:t>
            </w:r>
          </w:p>
          <w:p w14:paraId="25E8020E" w14:textId="77777777" w:rsidR="00573FF9" w:rsidRPr="0089603C" w:rsidRDefault="00573FF9" w:rsidP="0058326A">
            <w:pPr>
              <w:pStyle w:val="2"/>
              <w:keepNext/>
              <w:shd w:val="clear" w:color="auto" w:fill="FFFFFF"/>
              <w:ind w:leftChars="50" w:left="120" w:firstLineChars="50" w:firstLine="110"/>
              <w:rPr>
                <w:rFonts w:ascii="Arial" w:eastAsia="Times New Roman" w:hAnsi="Arial" w:cs="Arial"/>
                <w:kern w:val="2"/>
                <w:sz w:val="22"/>
                <w:szCs w:val="22"/>
              </w:rPr>
            </w:pPr>
          </w:p>
        </w:tc>
      </w:tr>
      <w:tr w:rsidR="004B372E" w:rsidRPr="0089603C" w14:paraId="36F23A8F" w14:textId="77777777" w:rsidTr="00821073">
        <w:trPr>
          <w:trHeight w:val="169"/>
        </w:trPr>
        <w:tc>
          <w:tcPr>
            <w:tcW w:w="8504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EDE" w14:textId="77777777" w:rsidR="004B2E15" w:rsidRPr="0089603C" w:rsidRDefault="004B2E15" w:rsidP="00AF4E96">
            <w:pPr>
              <w:spacing w:before="240" w:after="240"/>
              <w:ind w:left="840" w:rightChars="39" w:right="94" w:hanging="840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eastAsia="ja-JP"/>
              </w:rPr>
            </w:pPr>
          </w:p>
        </w:tc>
      </w:tr>
      <w:tr w:rsidR="004B372E" w:rsidRPr="0089603C" w14:paraId="7086B467" w14:textId="77777777" w:rsidTr="00821073">
        <w:trPr>
          <w:trHeight w:val="169"/>
        </w:trPr>
        <w:tc>
          <w:tcPr>
            <w:tcW w:w="8504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469C" w14:textId="77777777" w:rsidR="004B372E" w:rsidRPr="0089603C" w:rsidRDefault="004B372E" w:rsidP="008D5C41">
            <w:pPr>
              <w:spacing w:before="240" w:after="240"/>
              <w:ind w:left="840" w:rightChars="39" w:right="94" w:hanging="840"/>
              <w:rPr>
                <w:rFonts w:ascii="Arial" w:eastAsia="PMingLiU" w:hAnsi="Arial" w:cs="Arial"/>
                <w:b/>
                <w:bCs/>
                <w:color w:val="BD268B"/>
                <w:kern w:val="2"/>
                <w:sz w:val="22"/>
                <w:szCs w:val="22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  <w:t>Submission Guidelines:</w:t>
            </w:r>
            <w:r w:rsidRPr="0089603C">
              <w:rPr>
                <w:rFonts w:ascii="Arial" w:hAnsi="Arial" w:cs="Arial" w:hint="eastAsia"/>
                <w:b/>
                <w:bCs/>
                <w:color w:val="BD268B"/>
                <w:kern w:val="2"/>
                <w:sz w:val="22"/>
                <w:szCs w:val="22"/>
                <w:lang w:eastAsia="ja-JP"/>
              </w:rPr>
              <w:t xml:space="preserve">　</w:t>
            </w: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  <w:lang w:eastAsia="ja-JP"/>
              </w:rPr>
              <w:t>Sessions</w:t>
            </w:r>
          </w:p>
          <w:p w14:paraId="494A8D29" w14:textId="77777777" w:rsidR="00D06F8B" w:rsidRPr="0089603C" w:rsidRDefault="00D06F8B" w:rsidP="00AF4E96">
            <w:pPr>
              <w:spacing w:before="240" w:after="240"/>
              <w:ind w:left="840" w:rightChars="39" w:right="94" w:hanging="840"/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</w:pPr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Session </w:t>
            </w:r>
            <w:proofErr w:type="gramStart"/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A  </w:t>
            </w:r>
            <w:r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Practical</w:t>
            </w:r>
            <w:proofErr w:type="gramEnd"/>
            <w:r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 xml:space="preserve"> </w:t>
            </w:r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>Case and Its Interpretation</w:t>
            </w:r>
          </w:p>
          <w:p w14:paraId="4C164A77" w14:textId="77777777" w:rsidR="004B372E" w:rsidRPr="0089603C" w:rsidRDefault="00AF4E96" w:rsidP="00A23B12">
            <w:pPr>
              <w:spacing w:before="240" w:after="240"/>
              <w:ind w:left="840" w:rightChars="39" w:right="94" w:hanging="840"/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</w:pPr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Session </w:t>
            </w:r>
            <w:proofErr w:type="gramStart"/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>B</w:t>
            </w:r>
            <w:r w:rsidR="004B372E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  Collaborative</w:t>
            </w:r>
            <w:proofErr w:type="gramEnd"/>
            <w:r w:rsidR="004B372E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 Learning of SLC</w:t>
            </w:r>
          </w:p>
          <w:p w14:paraId="0E3398A4" w14:textId="77777777" w:rsidR="00D06F8B" w:rsidRPr="0089603C" w:rsidRDefault="00AF4E96" w:rsidP="00D06F8B">
            <w:pPr>
              <w:spacing w:before="240" w:after="240"/>
              <w:ind w:left="840" w:rightChars="39" w:right="94" w:hanging="840"/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</w:pPr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Session </w:t>
            </w:r>
            <w:proofErr w:type="gramStart"/>
            <w:r w:rsidR="00A23B12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C</w:t>
            </w:r>
            <w:r w:rsidR="004B372E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  </w:t>
            </w:r>
            <w:r w:rsidR="00A23B12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Professional</w:t>
            </w:r>
            <w:proofErr w:type="gramEnd"/>
            <w:r w:rsidR="00A23B12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 xml:space="preserve"> Development and School reform</w:t>
            </w:r>
          </w:p>
          <w:p w14:paraId="6C738426" w14:textId="5F148DE1" w:rsidR="000C648F" w:rsidRPr="0089603C" w:rsidRDefault="000C648F" w:rsidP="00D06F8B">
            <w:pPr>
              <w:spacing w:before="240" w:after="240"/>
              <w:ind w:left="840" w:rightChars="39" w:right="94" w:hanging="840"/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</w:pPr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Session </w:t>
            </w:r>
            <w:proofErr w:type="gramStart"/>
            <w:r w:rsidR="00A23B12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D</w:t>
            </w:r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  </w:t>
            </w:r>
            <w:r w:rsidR="009A763F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SLC</w:t>
            </w:r>
            <w:proofErr w:type="gramEnd"/>
            <w:r w:rsidR="009A763F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 xml:space="preserve"> in </w:t>
            </w:r>
            <w:r w:rsidR="00A23B12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Thai</w:t>
            </w:r>
            <w:r w:rsidR="009A763F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land *Thai</w:t>
            </w:r>
            <w:r w:rsidR="00A23B12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 xml:space="preserve"> language only</w:t>
            </w:r>
            <w:r w:rsidR="00D11A3D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 xml:space="preserve"> (</w:t>
            </w:r>
            <w:r w:rsidR="00936F5C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It shall be arranged by </w:t>
            </w:r>
            <w:r w:rsidR="002759F9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Faculty of Education, </w:t>
            </w:r>
            <w:r w:rsidR="002759F9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Chulalongkorn</w:t>
            </w:r>
            <w:r w:rsidR="002759F9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 </w:t>
            </w:r>
            <w:r w:rsidR="002759F9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University</w:t>
            </w:r>
            <w:r w:rsidR="002759F9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>,</w:t>
            </w:r>
            <w:r w:rsidR="002759F9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 xml:space="preserve"> Thailand Principal Forum</w:t>
            </w:r>
            <w:r w:rsidR="002759F9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 xml:space="preserve"> and </w:t>
            </w:r>
            <w:r w:rsidR="00936F5C"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t>EDUCA committee)</w:t>
            </w:r>
          </w:p>
          <w:p w14:paraId="26A184F7" w14:textId="77777777" w:rsidR="00A17690" w:rsidRPr="0089603C" w:rsidRDefault="00D06F8B" w:rsidP="00A17690">
            <w:pPr>
              <w:spacing w:before="240" w:after="240"/>
              <w:ind w:leftChars="50" w:left="120" w:rightChars="39" w:right="94" w:firstLineChars="50" w:firstLine="100"/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</w:pPr>
            <w:r w:rsidRPr="0089603C">
              <w:rPr>
                <w:rFonts w:ascii="HGP創英角ｺﾞｼｯｸUB" w:eastAsia="HGP創英角ｺﾞｼｯｸUB" w:hAnsi="HGP創英角ｺﾞｼｯｸUB" w:cs="Arial" w:hint="eastAsia"/>
                <w:bCs/>
                <w:kern w:val="2"/>
                <w:sz w:val="20"/>
                <w:szCs w:val="20"/>
                <w:lang w:eastAsia="ja-JP"/>
              </w:rPr>
              <w:lastRenderedPageBreak/>
              <w:t xml:space="preserve">Info: </w:t>
            </w:r>
            <w:r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 xml:space="preserve"> The time for presentation </w:t>
            </w:r>
            <w:r w:rsidR="00AF4E96" w:rsidRPr="0089603C">
              <w:rPr>
                <w:rFonts w:ascii="HGP創英角ｺﾞｼｯｸUB" w:eastAsia="HGP創英角ｺﾞｼｯｸUB" w:hAnsi="HGP創英角ｺﾞｼｯｸUB" w:cs="Arial"/>
                <w:bCs/>
                <w:kern w:val="2"/>
                <w:sz w:val="20"/>
                <w:szCs w:val="20"/>
                <w:lang w:eastAsia="ja-JP"/>
              </w:rPr>
              <w:t>is 20 minutes.</w:t>
            </w:r>
          </w:p>
          <w:p w14:paraId="18736A51" w14:textId="4A91357B" w:rsidR="004B372E" w:rsidRPr="0089603C" w:rsidRDefault="004B372E" w:rsidP="008D5C41">
            <w:pPr>
              <w:spacing w:before="240" w:after="240"/>
              <w:ind w:left="840" w:rightChars="39" w:right="94" w:hanging="840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  <w:t xml:space="preserve">Click Here </w:t>
            </w:r>
            <w:r w:rsidR="00526E7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  <w:sym w:font="Wingdings" w:char="F0E0"/>
            </w:r>
            <w:r w:rsidR="00526E7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  <w:t xml:space="preserve"> </w:t>
            </w:r>
            <w:hyperlink r:id="rId6" w:history="1">
              <w:r w:rsidR="00526E7B" w:rsidRPr="0089603C">
                <w:rPr>
                  <w:rStyle w:val="a3"/>
                  <w:rFonts w:ascii="Arial" w:hAnsi="Arial" w:cs="Arial"/>
                  <w:b/>
                  <w:bCs/>
                  <w:kern w:val="2"/>
                  <w:sz w:val="22"/>
                  <w:szCs w:val="22"/>
                </w:rPr>
                <w:t>https://forms.gle/Jhoj6VHZLpQFmmxY9</w:t>
              </w:r>
            </w:hyperlink>
          </w:p>
          <w:p w14:paraId="1D76C595" w14:textId="7DFAC563" w:rsidR="00526E7B" w:rsidRPr="0089603C" w:rsidRDefault="00526E7B" w:rsidP="008D5C41">
            <w:pPr>
              <w:spacing w:before="240" w:after="240"/>
              <w:ind w:left="840" w:rightChars="39" w:right="94" w:hanging="840"/>
              <w:rPr>
                <w:rFonts w:ascii="Arial" w:eastAsia="PMingLiU" w:hAnsi="Arial" w:cs="Arial"/>
                <w:b/>
                <w:bCs/>
                <w:color w:val="BD268B"/>
                <w:kern w:val="2"/>
                <w:sz w:val="22"/>
                <w:szCs w:val="22"/>
              </w:rPr>
            </w:pPr>
          </w:p>
        </w:tc>
      </w:tr>
      <w:tr w:rsidR="004B372E" w:rsidRPr="0089603C" w14:paraId="7584A61F" w14:textId="77777777" w:rsidTr="00821073">
        <w:trPr>
          <w:trHeight w:val="169"/>
        </w:trPr>
        <w:tc>
          <w:tcPr>
            <w:tcW w:w="8504" w:type="dxa"/>
            <w:tcBorders>
              <w:top w:val="nil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B3FF" w14:textId="77777777" w:rsidR="004B372E" w:rsidRPr="0089603C" w:rsidRDefault="004B372E" w:rsidP="00C3474A">
            <w:pPr>
              <w:spacing w:before="240" w:after="240"/>
              <w:ind w:rightChars="39" w:right="94"/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</w:pPr>
            <w:r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  <w:lastRenderedPageBreak/>
              <w:t>Important Dates</w:t>
            </w:r>
          </w:p>
          <w:tbl>
            <w:tblPr>
              <w:tblW w:w="88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9"/>
              <w:gridCol w:w="2268"/>
            </w:tblGrid>
            <w:tr w:rsidR="004B372E" w:rsidRPr="0089603C" w14:paraId="17DEA9E7" w14:textId="77777777">
              <w:trPr>
                <w:trHeight w:val="291"/>
              </w:trPr>
              <w:tc>
                <w:tcPr>
                  <w:tcW w:w="6629" w:type="dxa"/>
                  <w:shd w:val="clear" w:color="auto" w:fill="FFD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D4316" w14:textId="77777777" w:rsidR="004B372E" w:rsidRPr="0089603C" w:rsidRDefault="004B372E" w:rsidP="008D5C41">
                  <w:pPr>
                    <w:pStyle w:val="Web"/>
                    <w:spacing w:before="0" w:beforeAutospacing="0" w:after="0" w:afterAutospacing="0"/>
                    <w:ind w:left="840" w:hanging="84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</w:pPr>
                  <w:r w:rsidRPr="0089603C"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  <w:t>Events</w:t>
                  </w:r>
                </w:p>
              </w:tc>
              <w:tc>
                <w:tcPr>
                  <w:tcW w:w="2268" w:type="dxa"/>
                  <w:shd w:val="clear" w:color="auto" w:fill="FFD9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6369CE" w14:textId="77777777" w:rsidR="004B372E" w:rsidRPr="0089603C" w:rsidRDefault="004B372E" w:rsidP="008D5C41">
                  <w:pPr>
                    <w:pStyle w:val="Web"/>
                    <w:spacing w:before="0" w:beforeAutospacing="0" w:after="0" w:afterAutospacing="0"/>
                    <w:ind w:left="840" w:hanging="84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</w:pPr>
                  <w:r w:rsidRPr="0089603C"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  <w:t>Date</w:t>
                  </w:r>
                </w:p>
              </w:tc>
            </w:tr>
            <w:tr w:rsidR="004B372E" w:rsidRPr="0089603C" w14:paraId="55513BDE" w14:textId="77777777">
              <w:trPr>
                <w:trHeight w:val="291"/>
              </w:trPr>
              <w:tc>
                <w:tcPr>
                  <w:tcW w:w="66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8C0E2" w14:textId="77777777" w:rsidR="004B372E" w:rsidRPr="0089603C" w:rsidRDefault="00A17690" w:rsidP="008D5C41">
                  <w:pPr>
                    <w:pStyle w:val="Web"/>
                    <w:spacing w:before="0" w:beforeAutospacing="0" w:after="0" w:afterAutospacing="0"/>
                    <w:ind w:left="840" w:hanging="84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</w:pPr>
                  <w:r w:rsidRPr="0089603C"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  <w:t>Deadline of application for presentation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7C8042" w14:textId="0CC1D2E4" w:rsidR="004B372E" w:rsidRPr="0089603C" w:rsidRDefault="00976BF6" w:rsidP="008D5C41">
                  <w:pPr>
                    <w:pStyle w:val="Web"/>
                    <w:spacing w:before="0" w:beforeAutospacing="0" w:after="0" w:afterAutospacing="0"/>
                    <w:ind w:left="840" w:hanging="84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hAnsi="Arial" w:cs="Arial" w:hint="eastAsia"/>
                      <w:kern w:val="2"/>
                      <w:sz w:val="22"/>
                      <w:szCs w:val="22"/>
                      <w:lang w:eastAsia="ja-JP"/>
                    </w:rPr>
                    <w:t>S</w:t>
                  </w:r>
                  <w:r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  <w:t>eptember 15</w:t>
                  </w:r>
                </w:p>
              </w:tc>
            </w:tr>
            <w:tr w:rsidR="004B372E" w:rsidRPr="0089603C" w14:paraId="62919369" w14:textId="77777777">
              <w:trPr>
                <w:trHeight w:val="291"/>
              </w:trPr>
              <w:tc>
                <w:tcPr>
                  <w:tcW w:w="66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28FF6" w14:textId="77777777" w:rsidR="004B372E" w:rsidRPr="0089603C" w:rsidRDefault="00A17690" w:rsidP="008D5C41">
                  <w:pPr>
                    <w:pStyle w:val="Web"/>
                    <w:spacing w:before="0" w:beforeAutospacing="0" w:after="0" w:afterAutospacing="0"/>
                    <w:ind w:left="840" w:hanging="84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</w:pPr>
                  <w:r w:rsidRPr="0089603C">
                    <w:rPr>
                      <w:rFonts w:ascii="Arial" w:hAnsi="Arial" w:cs="Arial" w:hint="eastAsia"/>
                      <w:kern w:val="2"/>
                      <w:sz w:val="22"/>
                      <w:szCs w:val="22"/>
                      <w:lang w:eastAsia="ja-JP"/>
                    </w:rPr>
                    <w:t>Deadline of abstract submission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09A1D0" w14:textId="77777777" w:rsidR="004B372E" w:rsidRPr="0089603C" w:rsidRDefault="00AE02AD" w:rsidP="00AE02AD">
                  <w:pPr>
                    <w:pStyle w:val="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</w:pPr>
                  <w:r w:rsidRPr="0089603C">
                    <w:rPr>
                      <w:rFonts w:ascii="Arial" w:hAnsi="Arial" w:cs="Arial" w:hint="eastAsia"/>
                      <w:kern w:val="2"/>
                      <w:sz w:val="22"/>
                      <w:szCs w:val="22"/>
                      <w:lang w:eastAsia="ja-JP"/>
                    </w:rPr>
                    <w:t>S</w:t>
                  </w:r>
                  <w:r w:rsidRPr="0089603C"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  <w:t>eptember 15</w:t>
                  </w:r>
                </w:p>
              </w:tc>
            </w:tr>
            <w:tr w:rsidR="004B372E" w:rsidRPr="0089603C" w14:paraId="2C755DA4" w14:textId="77777777">
              <w:trPr>
                <w:trHeight w:val="291"/>
              </w:trPr>
              <w:tc>
                <w:tcPr>
                  <w:tcW w:w="66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0FDBD" w14:textId="77777777" w:rsidR="004B372E" w:rsidRPr="0089603C" w:rsidRDefault="002722B0" w:rsidP="008D5C41">
                  <w:pPr>
                    <w:pStyle w:val="Web"/>
                    <w:spacing w:before="0" w:beforeAutospacing="0" w:after="0" w:afterAutospacing="0"/>
                    <w:ind w:left="840" w:hanging="84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</w:pPr>
                  <w:r w:rsidRPr="0089603C"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  <w:t xml:space="preserve">Deadline of </w:t>
                  </w:r>
                  <w:r w:rsidR="00A17690" w:rsidRPr="0089603C">
                    <w:rPr>
                      <w:rFonts w:ascii="Arial" w:hAnsi="Arial" w:cs="Arial" w:hint="eastAsia"/>
                      <w:kern w:val="2"/>
                      <w:sz w:val="22"/>
                      <w:szCs w:val="22"/>
                      <w:lang w:eastAsia="ja-JP"/>
                    </w:rPr>
                    <w:t>Regular Registration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A2DFED" w14:textId="77777777" w:rsidR="004B372E" w:rsidRPr="0089603C" w:rsidRDefault="00AE02AD" w:rsidP="008D5C41">
                  <w:pPr>
                    <w:pStyle w:val="Web"/>
                    <w:spacing w:before="0" w:beforeAutospacing="0" w:after="0" w:afterAutospacing="0"/>
                    <w:ind w:left="840" w:hanging="840"/>
                    <w:jc w:val="both"/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</w:pPr>
                  <w:r w:rsidRPr="0089603C">
                    <w:rPr>
                      <w:rFonts w:ascii="Arial" w:hAnsi="Arial" w:cs="Arial" w:hint="eastAsia"/>
                      <w:kern w:val="2"/>
                      <w:sz w:val="22"/>
                      <w:szCs w:val="22"/>
                      <w:lang w:eastAsia="ja-JP"/>
                    </w:rPr>
                    <w:t>S</w:t>
                  </w:r>
                  <w:r w:rsidRPr="0089603C">
                    <w:rPr>
                      <w:rFonts w:ascii="Arial" w:hAnsi="Arial" w:cs="Arial"/>
                      <w:kern w:val="2"/>
                      <w:sz w:val="22"/>
                      <w:szCs w:val="22"/>
                      <w:lang w:eastAsia="ja-JP"/>
                    </w:rPr>
                    <w:t>eptember 30</w:t>
                  </w:r>
                </w:p>
              </w:tc>
            </w:tr>
          </w:tbl>
          <w:p w14:paraId="2D962E8D" w14:textId="77777777" w:rsidR="004B372E" w:rsidRPr="0089603C" w:rsidRDefault="004B372E" w:rsidP="008D5C41">
            <w:pPr>
              <w:ind w:left="840" w:hanging="840"/>
              <w:rPr>
                <w:rFonts w:asciiTheme="minorHAnsi" w:eastAsia="ＭＳ Ｐゴシック" w:hAnsiTheme="minorHAnsi" w:cs="ＭＳ Ｐゴシック"/>
                <w:kern w:val="2"/>
                <w:sz w:val="21"/>
                <w:szCs w:val="22"/>
                <w:lang w:eastAsia="ja-JP"/>
              </w:rPr>
            </w:pPr>
          </w:p>
        </w:tc>
        <w:bookmarkStart w:id="0" w:name="_GoBack"/>
        <w:bookmarkEnd w:id="0"/>
      </w:tr>
      <w:tr w:rsidR="004B372E" w14:paraId="6224F00F" w14:textId="77777777" w:rsidTr="00821073">
        <w:trPr>
          <w:trHeight w:val="169"/>
        </w:trPr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D75D" w14:textId="77777777" w:rsidR="00FE6E47" w:rsidRPr="0089603C" w:rsidRDefault="00EE2151" w:rsidP="00A87AC8">
            <w:pPr>
              <w:spacing w:before="240" w:after="240"/>
              <w:ind w:rightChars="39" w:right="94"/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/>
                <w:b/>
                <w:bCs/>
                <w:color w:val="BD268B"/>
                <w:kern w:val="2"/>
                <w:sz w:val="22"/>
                <w:szCs w:val="22"/>
                <w:lang w:eastAsia="ja-JP"/>
              </w:rPr>
              <w:t>Admission Information:</w:t>
            </w:r>
            <w:r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 xml:space="preserve"> </w:t>
            </w:r>
          </w:p>
          <w:p w14:paraId="1883FE67" w14:textId="085F8EEE" w:rsidR="00A87AC8" w:rsidRPr="0089603C" w:rsidRDefault="00EE2151" w:rsidP="00A87AC8">
            <w:pPr>
              <w:spacing w:before="240" w:after="240"/>
              <w:ind w:rightChars="39" w:right="94"/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 xml:space="preserve">The registration fee is </w:t>
            </w:r>
            <w:r w:rsidR="008C3ABC"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 xml:space="preserve">basically free except </w:t>
            </w:r>
            <w:r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>optional events as school visit and reception party.</w:t>
            </w:r>
            <w:r w:rsidR="00A81850"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 xml:space="preserve"> So, we have no assistance </w:t>
            </w:r>
            <w:r w:rsidR="004D2B6B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>with</w:t>
            </w:r>
            <w:r w:rsidR="00A81850"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 xml:space="preserve"> your hotel accommodation and travel support.</w:t>
            </w:r>
          </w:p>
          <w:p w14:paraId="1AC37363" w14:textId="77777777" w:rsidR="002722B0" w:rsidRPr="0089603C" w:rsidRDefault="00AF4E96" w:rsidP="00A87AC8">
            <w:pPr>
              <w:spacing w:before="240" w:after="240"/>
              <w:ind w:rightChars="39" w:right="94"/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 xml:space="preserve">Reception Party = US$ </w:t>
            </w:r>
            <w:r w:rsidR="002759F9"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>40</w:t>
            </w:r>
            <w:r w:rsidR="00936F5C"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 xml:space="preserve"> </w:t>
            </w:r>
            <w:r w:rsidR="002722B0"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br/>
              <w:t>School Visit = US$ 2</w:t>
            </w:r>
            <w:r w:rsidR="00C3631F" w:rsidRPr="0089603C">
              <w:rPr>
                <w:rFonts w:asciiTheme="majorHAnsi" w:hAnsiTheme="majorHAnsi" w:cstheme="majorHAnsi"/>
                <w:bCs/>
                <w:kern w:val="2"/>
                <w:sz w:val="22"/>
                <w:szCs w:val="22"/>
                <w:lang w:eastAsia="ja-JP"/>
              </w:rPr>
              <w:t>0</w:t>
            </w:r>
          </w:p>
          <w:p w14:paraId="572E58C2" w14:textId="77777777" w:rsidR="004B372E" w:rsidRPr="0089603C" w:rsidRDefault="004B372E" w:rsidP="008D5C41">
            <w:pPr>
              <w:spacing w:before="240" w:after="240"/>
              <w:ind w:left="840" w:rightChars="39" w:right="94" w:hanging="840"/>
              <w:rPr>
                <w:rFonts w:asciiTheme="majorHAnsi" w:hAnsiTheme="majorHAnsi" w:cstheme="majorHAnsi"/>
                <w:b/>
                <w:bCs/>
                <w:kern w:val="2"/>
                <w:sz w:val="22"/>
                <w:szCs w:val="22"/>
              </w:rPr>
            </w:pPr>
            <w:r w:rsidRPr="0089603C">
              <w:rPr>
                <w:rFonts w:asciiTheme="majorHAnsi" w:hAnsiTheme="majorHAnsi" w:cstheme="majorHAnsi"/>
                <w:b/>
                <w:bCs/>
                <w:color w:val="BD268B"/>
                <w:kern w:val="2"/>
                <w:sz w:val="22"/>
                <w:szCs w:val="22"/>
              </w:rPr>
              <w:t>Contact Us:</w:t>
            </w:r>
          </w:p>
          <w:p w14:paraId="280FE25F" w14:textId="77777777" w:rsidR="004B372E" w:rsidRPr="0089603C" w:rsidRDefault="004B372E" w:rsidP="002759F9">
            <w:pPr>
              <w:pStyle w:val="2"/>
              <w:keepNext/>
              <w:shd w:val="clear" w:color="auto" w:fill="FFFFFF"/>
              <w:ind w:left="880" w:hangingChars="400" w:hanging="880"/>
              <w:rPr>
                <w:rFonts w:asciiTheme="majorHAnsi" w:eastAsia="Times New Roman" w:hAnsiTheme="majorHAnsi" w:cstheme="majorHAnsi"/>
                <w:kern w:val="2"/>
                <w:sz w:val="22"/>
                <w:szCs w:val="22"/>
                <w:lang w:val="en-GB"/>
              </w:rPr>
            </w:pPr>
            <w:r w:rsidRPr="0089603C">
              <w:rPr>
                <w:rFonts w:asciiTheme="majorHAnsi" w:eastAsia="Times New Roman" w:hAnsiTheme="majorHAnsi" w:cstheme="majorHAnsi"/>
                <w:kern w:val="2"/>
                <w:sz w:val="22"/>
                <w:szCs w:val="22"/>
                <w:lang w:val="en-GB"/>
              </w:rPr>
              <w:t>Website: International Platform for School as Learning Community</w:t>
            </w:r>
            <w:r w:rsidR="002759F9" w:rsidRPr="0089603C">
              <w:rPr>
                <w:rFonts w:asciiTheme="majorHAnsi" w:eastAsia="Times New Roman" w:hAnsiTheme="majorHAnsi" w:cstheme="majorHAnsi"/>
                <w:kern w:val="2"/>
                <w:sz w:val="22"/>
                <w:szCs w:val="22"/>
                <w:lang w:val="en-GB"/>
              </w:rPr>
              <w:br/>
            </w:r>
            <w:r w:rsidRPr="0089603C">
              <w:rPr>
                <w:rFonts w:asciiTheme="majorHAnsi" w:eastAsia="Times New Roman" w:hAnsiTheme="majorHAnsi" w:cstheme="majorHAnsi"/>
                <w:kern w:val="2"/>
                <w:sz w:val="22"/>
                <w:szCs w:val="22"/>
              </w:rPr>
              <w:t>http://school-lc.com/</w:t>
            </w:r>
          </w:p>
          <w:p w14:paraId="046C0C77" w14:textId="77777777" w:rsidR="004B372E" w:rsidRPr="0089603C" w:rsidRDefault="004B372E" w:rsidP="008D5C41">
            <w:pPr>
              <w:pStyle w:val="2"/>
              <w:keepNext/>
              <w:shd w:val="clear" w:color="auto" w:fill="FFFFFF"/>
              <w:spacing w:after="240"/>
              <w:ind w:left="840" w:hanging="840"/>
              <w:rPr>
                <w:rFonts w:asciiTheme="majorHAnsi" w:eastAsia="Times New Roman" w:hAnsiTheme="majorHAnsi" w:cstheme="majorHAnsi"/>
                <w:b/>
                <w:bCs/>
                <w:kern w:val="2"/>
                <w:sz w:val="48"/>
                <w:szCs w:val="48"/>
                <w:lang w:val="en-GB"/>
              </w:rPr>
            </w:pPr>
            <w:r w:rsidRPr="0089603C">
              <w:rPr>
                <w:rFonts w:asciiTheme="majorHAnsi" w:eastAsia="Times New Roman" w:hAnsiTheme="majorHAnsi" w:cstheme="majorHAnsi"/>
                <w:kern w:val="2"/>
                <w:sz w:val="22"/>
                <w:szCs w:val="22"/>
                <w:lang w:val="en-GB"/>
              </w:rPr>
              <w:t>Email:</w:t>
            </w:r>
            <w:r w:rsidR="002759F9" w:rsidRPr="0089603C">
              <w:rPr>
                <w:rFonts w:asciiTheme="majorHAnsi" w:eastAsia="Times New Roman" w:hAnsiTheme="majorHAnsi" w:cstheme="majorHAnsi"/>
                <w:kern w:val="2"/>
                <w:sz w:val="22"/>
                <w:szCs w:val="22"/>
                <w:lang w:val="en-GB"/>
              </w:rPr>
              <w:t xml:space="preserve">   </w:t>
            </w:r>
            <w:hyperlink r:id="rId7" w:history="1">
              <w:r w:rsidRPr="0089603C">
                <w:rPr>
                  <w:rStyle w:val="a3"/>
                  <w:rFonts w:asciiTheme="majorHAnsi" w:hAnsiTheme="majorHAnsi" w:cstheme="majorHAnsi"/>
                  <w:kern w:val="2"/>
                  <w:lang w:val="en"/>
                </w:rPr>
                <w:t>info@school-lc.com</w:t>
              </w:r>
            </w:hyperlink>
          </w:p>
          <w:p w14:paraId="4026DC51" w14:textId="77777777" w:rsidR="009C780B" w:rsidRPr="0089603C" w:rsidRDefault="004B372E" w:rsidP="00F30B4E">
            <w:pPr>
              <w:pStyle w:val="Web"/>
              <w:jc w:val="both"/>
              <w:rPr>
                <w:rFonts w:asciiTheme="majorHAnsi" w:eastAsia="PMingLiU" w:hAnsiTheme="majorHAnsi" w:cstheme="majorHAnsi"/>
                <w:kern w:val="2"/>
                <w:sz w:val="22"/>
                <w:szCs w:val="22"/>
              </w:rPr>
            </w:pPr>
            <w:r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>We look for</w:t>
            </w:r>
            <w:r w:rsidR="00300889"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 xml:space="preserve">ward to meeting you at the </w:t>
            </w:r>
            <w:r w:rsidR="002759F9"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>7</w:t>
            </w:r>
            <w:r w:rsidR="00AF4E96"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>th International Conference of</w:t>
            </w:r>
            <w:r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 xml:space="preserve"> Sc</w:t>
            </w:r>
            <w:r w:rsidR="00300889"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>hool as Learning Community 201</w:t>
            </w:r>
            <w:r w:rsidR="00AE5A87"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>9</w:t>
            </w:r>
            <w:r w:rsidR="00A17690" w:rsidRPr="0089603C">
              <w:rPr>
                <w:rFonts w:asciiTheme="majorHAnsi" w:hAnsiTheme="majorHAnsi" w:cstheme="majorHAnsi"/>
                <w:kern w:val="2"/>
                <w:sz w:val="22"/>
                <w:szCs w:val="22"/>
              </w:rPr>
              <w:t>.</w:t>
            </w:r>
          </w:p>
          <w:p w14:paraId="69EE559B" w14:textId="32029D0E" w:rsidR="00526E7B" w:rsidRPr="0089603C" w:rsidRDefault="004B372E" w:rsidP="00F30B4E">
            <w:pPr>
              <w:pStyle w:val="Web"/>
              <w:jc w:val="both"/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</w:rPr>
              <w:t>Conference Secretariat</w:t>
            </w:r>
            <w:r w:rsidR="002759F9" w:rsidRPr="0089603C">
              <w:rPr>
                <w:rFonts w:asciiTheme="majorHAnsi" w:eastAsia="PMingLiU" w:hAnsiTheme="majorHAnsi" w:cstheme="majorHAnsi"/>
                <w:iCs/>
                <w:kern w:val="2"/>
                <w:sz w:val="22"/>
                <w:szCs w:val="22"/>
              </w:rPr>
              <w:br/>
            </w:r>
            <w:r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</w:rPr>
              <w:t>International Platform for School as Learning Community</w:t>
            </w:r>
            <w:r w:rsidR="009C780B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</w:rPr>
              <w:t xml:space="preserve">    </w:t>
            </w:r>
            <w:r w:rsidR="002759F9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</w:rPr>
              <w:br/>
            </w:r>
            <w:r w:rsidR="0095702E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Rie Takahashi: </w:t>
            </w:r>
            <w:r w:rsidR="00C3631F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>Education Consultant</w:t>
            </w:r>
            <w:r w:rsidR="0095702E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of </w:t>
            </w:r>
            <w:r w:rsidR="00C3631F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>Pico (Thailand) Public Company Limited</w:t>
            </w:r>
            <w:r w:rsidR="00526E7B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br/>
            </w:r>
            <w:hyperlink r:id="rId8" w:history="1">
              <w:r w:rsidR="00526E7B" w:rsidRPr="0089603C">
                <w:rPr>
                  <w:rStyle w:val="a3"/>
                  <w:rFonts w:asciiTheme="majorHAnsi" w:hAnsiTheme="majorHAnsi" w:cstheme="majorHAnsi"/>
                  <w:iCs/>
                  <w:kern w:val="2"/>
                  <w:sz w:val="22"/>
                  <w:szCs w:val="22"/>
                  <w:lang w:eastAsia="ja-JP"/>
                </w:rPr>
                <w:t>slc@educathai.com</w:t>
              </w:r>
            </w:hyperlink>
          </w:p>
          <w:p w14:paraId="58746C3B" w14:textId="77777777" w:rsidR="009C780B" w:rsidRPr="0089603C" w:rsidRDefault="009C780B" w:rsidP="009C780B">
            <w:pPr>
              <w:pStyle w:val="Web"/>
              <w:ind w:left="840" w:hanging="840"/>
              <w:jc w:val="both"/>
              <w:rPr>
                <w:rFonts w:asciiTheme="majorHAnsi" w:hAnsiTheme="majorHAnsi" w:cstheme="majorHAnsi"/>
                <w:iCs/>
                <w:color w:val="C00000"/>
                <w:kern w:val="2"/>
                <w:sz w:val="28"/>
                <w:szCs w:val="28"/>
                <w:lang w:eastAsia="ja-JP"/>
              </w:rPr>
            </w:pPr>
            <w:r w:rsidRPr="0089603C">
              <w:rPr>
                <w:rFonts w:asciiTheme="majorHAnsi" w:hAnsiTheme="majorHAnsi" w:cstheme="majorHAnsi"/>
                <w:iCs/>
                <w:color w:val="C00000"/>
                <w:kern w:val="2"/>
                <w:sz w:val="28"/>
                <w:szCs w:val="28"/>
                <w:lang w:eastAsia="ja-JP"/>
              </w:rPr>
              <w:t>Submission and Registration</w:t>
            </w:r>
          </w:p>
          <w:p w14:paraId="0569046E" w14:textId="114BEFD7" w:rsidR="00C3631F" w:rsidRPr="0089603C" w:rsidRDefault="00D11A3D" w:rsidP="00C3631F">
            <w:pPr>
              <w:pStyle w:val="Web"/>
              <w:snapToGrid w:val="0"/>
              <w:ind w:left="839" w:hanging="839"/>
              <w:jc w:val="both"/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>Thai residence</w:t>
            </w:r>
            <w:r w:rsidR="00936F5C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>:</w:t>
            </w:r>
            <w:r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</w:t>
            </w:r>
            <w:hyperlink r:id="rId9" w:history="1">
              <w:r w:rsidR="004D2B6B">
                <w:rPr>
                  <w:rStyle w:val="a3"/>
                </w:rPr>
                <w:t>http://educathai.com/events/conference/28</w:t>
              </w:r>
            </w:hyperlink>
            <w:r w:rsidR="00C3631F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</w:t>
            </w:r>
            <w:r w:rsidR="004D2B6B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br/>
            </w:r>
            <w:r w:rsidR="00C3631F" w:rsidRPr="0089603C">
              <w:rPr>
                <w:rFonts w:asciiTheme="majorHAnsi" w:hAnsiTheme="majorHAnsi" w:cstheme="majorHAnsi" w:hint="eastAsia"/>
                <w:iCs/>
                <w:kern w:val="2"/>
                <w:sz w:val="22"/>
                <w:szCs w:val="22"/>
                <w:lang w:eastAsia="ja-JP"/>
              </w:rPr>
              <w:t>*</w:t>
            </w:r>
            <w:r w:rsidR="00C3631F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will be opened </w:t>
            </w:r>
            <w:r w:rsidR="00526E7B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>on 22nd</w:t>
            </w:r>
            <w:r w:rsidR="00C3631F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July </w:t>
            </w:r>
          </w:p>
          <w:p w14:paraId="0C9B570E" w14:textId="54FAF12A" w:rsidR="009C780B" w:rsidRPr="0089603C" w:rsidRDefault="00D11A3D" w:rsidP="005B5A70">
            <w:pPr>
              <w:pStyle w:val="Web"/>
              <w:snapToGrid w:val="0"/>
              <w:ind w:left="839" w:hanging="839"/>
              <w:jc w:val="both"/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lastRenderedPageBreak/>
              <w:t>International guest excep</w:t>
            </w:r>
            <w:r w:rsidR="00936F5C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>t</w:t>
            </w:r>
            <w:r w:rsidR="004D2B6B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for</w:t>
            </w:r>
            <w:r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Thai residence</w:t>
            </w:r>
            <w:r w:rsidR="00936F5C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: </w:t>
            </w:r>
            <w:r w:rsidR="005B5A70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br/>
            </w:r>
            <w:r w:rsidR="00936F5C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>Click Here</w:t>
            </w:r>
            <w:r w:rsidR="00C3631F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</w:t>
            </w:r>
            <w:r w:rsidR="00526E7B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sym w:font="Wingdings" w:char="F0E0"/>
            </w:r>
            <w:r w:rsidR="00526E7B" w:rsidRPr="0089603C">
              <w:rPr>
                <w:rFonts w:asciiTheme="majorHAnsi" w:hAnsiTheme="majorHAnsi" w:cstheme="majorHAnsi"/>
                <w:iCs/>
                <w:kern w:val="2"/>
                <w:sz w:val="22"/>
                <w:szCs w:val="22"/>
                <w:lang w:eastAsia="ja-JP"/>
              </w:rPr>
              <w:t xml:space="preserve"> </w:t>
            </w:r>
            <w:r w:rsidR="00526E7B" w:rsidRPr="0089603C">
              <w:rPr>
                <w:rFonts w:ascii="Arial" w:hAnsi="Arial" w:cs="Arial"/>
                <w:b/>
                <w:bCs/>
                <w:color w:val="BD268B"/>
                <w:kern w:val="2"/>
                <w:sz w:val="22"/>
                <w:szCs w:val="22"/>
              </w:rPr>
              <w:t xml:space="preserve"> </w:t>
            </w:r>
            <w:hyperlink r:id="rId10" w:history="1">
              <w:r w:rsidR="00526E7B" w:rsidRPr="0089603C">
                <w:rPr>
                  <w:rStyle w:val="a3"/>
                  <w:rFonts w:ascii="Arial" w:hAnsi="Arial" w:cs="Arial"/>
                  <w:b/>
                  <w:bCs/>
                  <w:kern w:val="2"/>
                  <w:sz w:val="22"/>
                  <w:szCs w:val="22"/>
                </w:rPr>
                <w:t>https://forms.gle/Jhoj6VHZLpQFmmxY9</w:t>
              </w:r>
            </w:hyperlink>
          </w:p>
          <w:p w14:paraId="3E675C9F" w14:textId="77777777" w:rsidR="00F30B4E" w:rsidRPr="0089603C" w:rsidRDefault="00F30B4E" w:rsidP="00F30B4E">
            <w:pPr>
              <w:pStyle w:val="Web"/>
              <w:ind w:left="840" w:hanging="840"/>
              <w:jc w:val="both"/>
              <w:rPr>
                <w:rFonts w:asciiTheme="majorHAnsi" w:hAnsiTheme="majorHAnsi" w:cstheme="majorHAnsi"/>
                <w:iCs/>
                <w:color w:val="C00000"/>
                <w:kern w:val="2"/>
                <w:sz w:val="28"/>
                <w:szCs w:val="28"/>
                <w:lang w:eastAsia="ja-JP"/>
              </w:rPr>
            </w:pPr>
            <w:r w:rsidRPr="0089603C">
              <w:rPr>
                <w:rFonts w:asciiTheme="majorHAnsi" w:hAnsiTheme="majorHAnsi" w:cstheme="majorHAnsi"/>
                <w:iCs/>
                <w:color w:val="C00000"/>
                <w:kern w:val="2"/>
                <w:sz w:val="28"/>
                <w:szCs w:val="28"/>
                <w:lang w:eastAsia="ja-JP"/>
              </w:rPr>
              <w:t>Hotel / Accommodation</w:t>
            </w:r>
          </w:p>
          <w:p w14:paraId="1E5923DE" w14:textId="77777777" w:rsidR="00140BDA" w:rsidRPr="0089603C" w:rsidRDefault="0037054A" w:rsidP="0037054A">
            <w:pPr>
              <w:pStyle w:val="Web"/>
              <w:jc w:val="both"/>
              <w:rPr>
                <w:rFonts w:asciiTheme="majorHAnsi" w:hAnsiTheme="majorHAnsi" w:cstheme="majorHAnsi"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/>
                <w:kern w:val="2"/>
                <w:sz w:val="22"/>
                <w:szCs w:val="22"/>
                <w:lang w:eastAsia="ja-JP"/>
              </w:rPr>
              <w:t xml:space="preserve">Participants can book the following hotel with corporate price as EDUCA participants. </w:t>
            </w:r>
          </w:p>
          <w:p w14:paraId="1FAFF764" w14:textId="240D76A5" w:rsidR="00005341" w:rsidRPr="0089603C" w:rsidRDefault="00526E7B" w:rsidP="0037054A">
            <w:pPr>
              <w:pStyle w:val="Web"/>
              <w:jc w:val="both"/>
              <w:rPr>
                <w:rFonts w:asciiTheme="majorHAnsi" w:hAnsiTheme="majorHAnsi" w:cstheme="majorHAnsi"/>
                <w:kern w:val="2"/>
                <w:sz w:val="22"/>
                <w:szCs w:val="22"/>
                <w:lang w:eastAsia="ja-JP"/>
              </w:rPr>
            </w:pPr>
            <w:r w:rsidRPr="0089603C">
              <w:rPr>
                <w:rFonts w:asciiTheme="majorHAnsi" w:hAnsiTheme="majorHAnsi" w:cstheme="majorHAnsi" w:hint="eastAsia"/>
                <w:kern w:val="2"/>
                <w:sz w:val="22"/>
                <w:szCs w:val="22"/>
                <w:lang w:eastAsia="ja-JP"/>
              </w:rPr>
              <w:t xml:space="preserve">See further details at Google Form or EDUCA 2019 website (will be opened </w:t>
            </w:r>
            <w:r w:rsidRPr="0089603C">
              <w:rPr>
                <w:rFonts w:asciiTheme="majorHAnsi" w:hAnsiTheme="majorHAnsi" w:cstheme="majorHAnsi"/>
                <w:kern w:val="2"/>
                <w:sz w:val="22"/>
                <w:szCs w:val="22"/>
                <w:lang w:eastAsia="ja-JP"/>
              </w:rPr>
              <w:t>on22nd July 2019)</w:t>
            </w:r>
          </w:p>
          <w:p w14:paraId="3CB26CFA" w14:textId="77777777" w:rsidR="002238C8" w:rsidRPr="0089603C" w:rsidRDefault="002238C8" w:rsidP="002238C8">
            <w:pPr>
              <w:rPr>
                <w:rFonts w:asciiTheme="majorHAnsi" w:hAnsiTheme="majorHAnsi" w:cstheme="majorHAnsi"/>
                <w:color w:val="C00000"/>
                <w:sz w:val="32"/>
                <w:szCs w:val="32"/>
                <w:lang w:eastAsia="ja-JP"/>
              </w:rPr>
            </w:pPr>
            <w:r w:rsidRPr="0089603C">
              <w:rPr>
                <w:rFonts w:asciiTheme="majorHAnsi" w:hAnsiTheme="majorHAnsi" w:cstheme="majorHAnsi"/>
                <w:color w:val="C00000"/>
                <w:sz w:val="32"/>
                <w:szCs w:val="32"/>
              </w:rPr>
              <w:t>Organizing Committee</w:t>
            </w:r>
          </w:p>
          <w:p w14:paraId="240B8EC2" w14:textId="77777777" w:rsidR="002238C8" w:rsidRPr="004D2B6B" w:rsidRDefault="002238C8" w:rsidP="002238C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Chairperson: Manabu Sato (Professor Emeritus, The University of Tokyo, Research Professor,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Gakushuin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University, Senior Pro</w:t>
            </w:r>
            <w:r w:rsidR="002722B0" w:rsidRPr="004D2B6B">
              <w:rPr>
                <w:rFonts w:asciiTheme="majorHAnsi" w:hAnsiTheme="majorHAnsi" w:cstheme="majorHAnsi"/>
                <w:sz w:val="22"/>
                <w:szCs w:val="22"/>
              </w:rPr>
              <w:t>fe</w:t>
            </w: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ssor, Beijing Normal </w:t>
            </w:r>
            <w:proofErr w:type="gram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University )</w:t>
            </w:r>
            <w:proofErr w:type="gramEnd"/>
          </w:p>
          <w:p w14:paraId="6A707D71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Vice Chairperson: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Athapol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Anunthavorasakul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(Faculty of Education, Chulalongkorn University)</w:t>
            </w:r>
          </w:p>
          <w:p w14:paraId="78895780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EEC894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Advisor:</w:t>
            </w:r>
          </w:p>
          <w:p w14:paraId="2E91B201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Siridej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Sujiva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(Dean of Faculty of Education, Chulalongkorn University)</w:t>
            </w:r>
          </w:p>
          <w:p w14:paraId="26669AD8" w14:textId="293CD476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Ladda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Pukiat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Pimpan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Dechakupt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Siripaarn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Suwonmonkha</w:t>
            </w:r>
            <w:proofErr w:type="spellEnd"/>
            <w:r w:rsidRPr="004D2B6B">
              <w:rPr>
                <w:rFonts w:asciiTheme="majorHAnsi" w:hAnsiTheme="majorHAnsi" w:cstheme="majorHAnsi"/>
                <w:sz w:val="22"/>
                <w:szCs w:val="22"/>
              </w:rPr>
              <w:t xml:space="preserve"> (Thailand Principal Forum)</w:t>
            </w:r>
          </w:p>
          <w:p w14:paraId="494F1913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Silchai Kiatpapan (Chief Executive Officer, Pico (Thailand) Public Company Limited)</w:t>
            </w:r>
          </w:p>
          <w:p w14:paraId="7A81C81D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E6F50C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EDUCA:</w:t>
            </w:r>
          </w:p>
          <w:p w14:paraId="3A53B895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Viriya Pholpoke (Head, Director and Executive Advisor, Pico (Thailand) Public Company Limited)</w:t>
            </w:r>
          </w:p>
          <w:p w14:paraId="38DD0332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Nipaporn Kunlasomboon (Secretariat, Pico (Thailand) Public Company Limited)</w:t>
            </w:r>
          </w:p>
          <w:p w14:paraId="11D0718E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A106A4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Coordination Team: Chayapim Usaho, Jarintorn Wintachai (Faculty of Education, Chulalongkorn University)</w:t>
            </w:r>
          </w:p>
          <w:p w14:paraId="308881F1" w14:textId="77777777" w:rsidR="005C46B3" w:rsidRPr="004D2B6B" w:rsidRDefault="005C46B3" w:rsidP="005C46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EDD583" w14:textId="77777777" w:rsidR="002238C8" w:rsidRPr="005C46B3" w:rsidRDefault="005C46B3" w:rsidP="005C46B3">
            <w:pPr>
              <w:rPr>
                <w:rFonts w:asciiTheme="majorHAnsi" w:eastAsia="PMingLiU" w:hAnsiTheme="majorHAnsi" w:cstheme="majorHAnsi"/>
                <w:iCs/>
                <w:kern w:val="2"/>
                <w:sz w:val="22"/>
                <w:szCs w:val="22"/>
              </w:rPr>
            </w:pPr>
            <w:r w:rsidRPr="004D2B6B">
              <w:rPr>
                <w:rFonts w:asciiTheme="majorHAnsi" w:hAnsiTheme="majorHAnsi" w:cstheme="majorHAnsi"/>
                <w:sz w:val="22"/>
                <w:szCs w:val="22"/>
              </w:rPr>
              <w:t>Committee Members: Rie Takahashi (Education Consultant, Pico (Thailand) Public Company Limited)</w:t>
            </w:r>
          </w:p>
        </w:tc>
      </w:tr>
    </w:tbl>
    <w:p w14:paraId="3E1A57D3" w14:textId="77777777" w:rsidR="00CC7A9C" w:rsidRPr="00821073" w:rsidRDefault="00CC7A9C"/>
    <w:sectPr w:rsidR="00CC7A9C" w:rsidRPr="00821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779E" w14:textId="77777777" w:rsidR="00650D9C" w:rsidRDefault="00650D9C" w:rsidP="008863C8">
      <w:r>
        <w:separator/>
      </w:r>
    </w:p>
  </w:endnote>
  <w:endnote w:type="continuationSeparator" w:id="0">
    <w:p w14:paraId="50688353" w14:textId="77777777" w:rsidR="00650D9C" w:rsidRDefault="00650D9C" w:rsidP="0088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86CE" w14:textId="77777777" w:rsidR="00650D9C" w:rsidRDefault="00650D9C" w:rsidP="008863C8">
      <w:r>
        <w:separator/>
      </w:r>
    </w:p>
  </w:footnote>
  <w:footnote w:type="continuationSeparator" w:id="0">
    <w:p w14:paraId="44E42AD7" w14:textId="77777777" w:rsidR="00650D9C" w:rsidRDefault="00650D9C" w:rsidP="0088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zNDUyMDY1tLQ0MbBQ0lEKTi0uzszPAymwqAUA7xlJfCwAAAA="/>
  </w:docVars>
  <w:rsids>
    <w:rsidRoot w:val="004B372E"/>
    <w:rsid w:val="00002542"/>
    <w:rsid w:val="00005341"/>
    <w:rsid w:val="000636B5"/>
    <w:rsid w:val="00064A19"/>
    <w:rsid w:val="00077ECE"/>
    <w:rsid w:val="000941A7"/>
    <w:rsid w:val="000A13BD"/>
    <w:rsid w:val="000C3162"/>
    <w:rsid w:val="000C648F"/>
    <w:rsid w:val="000D36C8"/>
    <w:rsid w:val="000E4C48"/>
    <w:rsid w:val="000F29C7"/>
    <w:rsid w:val="00103028"/>
    <w:rsid w:val="00140BDA"/>
    <w:rsid w:val="00167FAB"/>
    <w:rsid w:val="00177B41"/>
    <w:rsid w:val="001B583A"/>
    <w:rsid w:val="001D72D2"/>
    <w:rsid w:val="001E2A07"/>
    <w:rsid w:val="001F0728"/>
    <w:rsid w:val="001F094A"/>
    <w:rsid w:val="002177E3"/>
    <w:rsid w:val="00217ED7"/>
    <w:rsid w:val="002238C8"/>
    <w:rsid w:val="002311C4"/>
    <w:rsid w:val="00253E2E"/>
    <w:rsid w:val="002722B0"/>
    <w:rsid w:val="00273F21"/>
    <w:rsid w:val="002759F9"/>
    <w:rsid w:val="002A1303"/>
    <w:rsid w:val="002A1F3E"/>
    <w:rsid w:val="002A2E2F"/>
    <w:rsid w:val="002B34B2"/>
    <w:rsid w:val="002B571A"/>
    <w:rsid w:val="002C3D31"/>
    <w:rsid w:val="002D79C9"/>
    <w:rsid w:val="002E4BB8"/>
    <w:rsid w:val="00300889"/>
    <w:rsid w:val="003167FF"/>
    <w:rsid w:val="00331BF7"/>
    <w:rsid w:val="00343193"/>
    <w:rsid w:val="00357196"/>
    <w:rsid w:val="0036138F"/>
    <w:rsid w:val="00363589"/>
    <w:rsid w:val="003700E4"/>
    <w:rsid w:val="0037054A"/>
    <w:rsid w:val="003B4F54"/>
    <w:rsid w:val="003B7555"/>
    <w:rsid w:val="003C76B3"/>
    <w:rsid w:val="003E34DF"/>
    <w:rsid w:val="003F66D1"/>
    <w:rsid w:val="0040586D"/>
    <w:rsid w:val="00427A07"/>
    <w:rsid w:val="00447D53"/>
    <w:rsid w:val="0045591C"/>
    <w:rsid w:val="00467825"/>
    <w:rsid w:val="004778A6"/>
    <w:rsid w:val="004B2E15"/>
    <w:rsid w:val="004B372E"/>
    <w:rsid w:val="004D2B6B"/>
    <w:rsid w:val="004E1F78"/>
    <w:rsid w:val="00505FB5"/>
    <w:rsid w:val="00507633"/>
    <w:rsid w:val="0051323E"/>
    <w:rsid w:val="00526E7B"/>
    <w:rsid w:val="00573FF9"/>
    <w:rsid w:val="00580E7C"/>
    <w:rsid w:val="0058326A"/>
    <w:rsid w:val="00590DE0"/>
    <w:rsid w:val="00590E97"/>
    <w:rsid w:val="005A62A6"/>
    <w:rsid w:val="005B5A70"/>
    <w:rsid w:val="005C0C76"/>
    <w:rsid w:val="005C46B3"/>
    <w:rsid w:val="005D6329"/>
    <w:rsid w:val="0060355F"/>
    <w:rsid w:val="00603CE6"/>
    <w:rsid w:val="00617483"/>
    <w:rsid w:val="00631E61"/>
    <w:rsid w:val="00635CC8"/>
    <w:rsid w:val="00650D9C"/>
    <w:rsid w:val="00663DEC"/>
    <w:rsid w:val="00671A2B"/>
    <w:rsid w:val="00682BDB"/>
    <w:rsid w:val="006916EB"/>
    <w:rsid w:val="006A63E6"/>
    <w:rsid w:val="006D09EE"/>
    <w:rsid w:val="006E19C1"/>
    <w:rsid w:val="006F0346"/>
    <w:rsid w:val="006F4016"/>
    <w:rsid w:val="0070624E"/>
    <w:rsid w:val="00711813"/>
    <w:rsid w:val="0071364F"/>
    <w:rsid w:val="00714EF2"/>
    <w:rsid w:val="00733B5A"/>
    <w:rsid w:val="00743F58"/>
    <w:rsid w:val="00774FDB"/>
    <w:rsid w:val="00780D0D"/>
    <w:rsid w:val="007A3FE4"/>
    <w:rsid w:val="007D346A"/>
    <w:rsid w:val="007E7A0F"/>
    <w:rsid w:val="007F0B8A"/>
    <w:rsid w:val="00802278"/>
    <w:rsid w:val="00811831"/>
    <w:rsid w:val="00821073"/>
    <w:rsid w:val="0083111D"/>
    <w:rsid w:val="00867B91"/>
    <w:rsid w:val="0087609E"/>
    <w:rsid w:val="00883422"/>
    <w:rsid w:val="00883B5C"/>
    <w:rsid w:val="008863C8"/>
    <w:rsid w:val="0089603C"/>
    <w:rsid w:val="008A08F0"/>
    <w:rsid w:val="008A1573"/>
    <w:rsid w:val="008C3ABC"/>
    <w:rsid w:val="008D237B"/>
    <w:rsid w:val="008D5C41"/>
    <w:rsid w:val="008F46B8"/>
    <w:rsid w:val="008F6248"/>
    <w:rsid w:val="0090047D"/>
    <w:rsid w:val="0092328A"/>
    <w:rsid w:val="00936F5C"/>
    <w:rsid w:val="00940A41"/>
    <w:rsid w:val="0094304E"/>
    <w:rsid w:val="00943ECC"/>
    <w:rsid w:val="00946C02"/>
    <w:rsid w:val="009555B3"/>
    <w:rsid w:val="0095702E"/>
    <w:rsid w:val="009619C4"/>
    <w:rsid w:val="00976BF6"/>
    <w:rsid w:val="009A763F"/>
    <w:rsid w:val="009B50B5"/>
    <w:rsid w:val="009C780B"/>
    <w:rsid w:val="009D5325"/>
    <w:rsid w:val="009E2696"/>
    <w:rsid w:val="009F0497"/>
    <w:rsid w:val="009F0F23"/>
    <w:rsid w:val="00A112BD"/>
    <w:rsid w:val="00A17690"/>
    <w:rsid w:val="00A23B12"/>
    <w:rsid w:val="00A53F25"/>
    <w:rsid w:val="00A602DF"/>
    <w:rsid w:val="00A7337A"/>
    <w:rsid w:val="00A749BA"/>
    <w:rsid w:val="00A81850"/>
    <w:rsid w:val="00A818E1"/>
    <w:rsid w:val="00A87AC8"/>
    <w:rsid w:val="00A9217B"/>
    <w:rsid w:val="00AA7467"/>
    <w:rsid w:val="00AD31B1"/>
    <w:rsid w:val="00AE02AD"/>
    <w:rsid w:val="00AE5A87"/>
    <w:rsid w:val="00AF4E96"/>
    <w:rsid w:val="00B156BB"/>
    <w:rsid w:val="00B571D6"/>
    <w:rsid w:val="00B60471"/>
    <w:rsid w:val="00B65211"/>
    <w:rsid w:val="00B65287"/>
    <w:rsid w:val="00BA0CB0"/>
    <w:rsid w:val="00BB3824"/>
    <w:rsid w:val="00BD0EAB"/>
    <w:rsid w:val="00C032C5"/>
    <w:rsid w:val="00C3474A"/>
    <w:rsid w:val="00C3631F"/>
    <w:rsid w:val="00C37DDD"/>
    <w:rsid w:val="00C4295E"/>
    <w:rsid w:val="00C5165B"/>
    <w:rsid w:val="00C61123"/>
    <w:rsid w:val="00C73C73"/>
    <w:rsid w:val="00C80E99"/>
    <w:rsid w:val="00C84528"/>
    <w:rsid w:val="00C8546C"/>
    <w:rsid w:val="00C8679D"/>
    <w:rsid w:val="00CA2EA1"/>
    <w:rsid w:val="00CC7A9C"/>
    <w:rsid w:val="00CD03CF"/>
    <w:rsid w:val="00CD2A99"/>
    <w:rsid w:val="00CD694E"/>
    <w:rsid w:val="00CE2A3C"/>
    <w:rsid w:val="00D06416"/>
    <w:rsid w:val="00D06F8B"/>
    <w:rsid w:val="00D0778F"/>
    <w:rsid w:val="00D11A3D"/>
    <w:rsid w:val="00D33DAE"/>
    <w:rsid w:val="00D33F1D"/>
    <w:rsid w:val="00D46BCF"/>
    <w:rsid w:val="00D66560"/>
    <w:rsid w:val="00D7694B"/>
    <w:rsid w:val="00D810A1"/>
    <w:rsid w:val="00D85BDF"/>
    <w:rsid w:val="00DA4455"/>
    <w:rsid w:val="00DB16ED"/>
    <w:rsid w:val="00DB4304"/>
    <w:rsid w:val="00DC25F1"/>
    <w:rsid w:val="00DD2541"/>
    <w:rsid w:val="00DE26EB"/>
    <w:rsid w:val="00E03D83"/>
    <w:rsid w:val="00E0584F"/>
    <w:rsid w:val="00E26AB1"/>
    <w:rsid w:val="00E55DBA"/>
    <w:rsid w:val="00E60A83"/>
    <w:rsid w:val="00E61B8F"/>
    <w:rsid w:val="00E6782C"/>
    <w:rsid w:val="00E84946"/>
    <w:rsid w:val="00E95BBA"/>
    <w:rsid w:val="00E966F0"/>
    <w:rsid w:val="00EB784B"/>
    <w:rsid w:val="00EC7E8F"/>
    <w:rsid w:val="00EE2151"/>
    <w:rsid w:val="00F03C6D"/>
    <w:rsid w:val="00F05437"/>
    <w:rsid w:val="00F30B4E"/>
    <w:rsid w:val="00F5494F"/>
    <w:rsid w:val="00F651BA"/>
    <w:rsid w:val="00F760DA"/>
    <w:rsid w:val="00F856C5"/>
    <w:rsid w:val="00F95D41"/>
    <w:rsid w:val="00FC65AE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428C1"/>
  <w15:chartTrackingRefBased/>
  <w15:docId w15:val="{0D93E8EA-A92F-49A8-BDB1-95436B7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2E"/>
    <w:rPr>
      <w:rFonts w:ascii="Calibri" w:hAnsi="Calibri" w:cs="Times New Roman"/>
      <w:kern w:val="0"/>
      <w:sz w:val="24"/>
      <w:szCs w:val="24"/>
      <w:lang w:eastAsia="zh-TW"/>
    </w:rPr>
  </w:style>
  <w:style w:type="paragraph" w:styleId="2">
    <w:name w:val="heading 2"/>
    <w:basedOn w:val="a"/>
    <w:link w:val="20"/>
    <w:uiPriority w:val="99"/>
    <w:semiHidden/>
    <w:unhideWhenUsed/>
    <w:qFormat/>
    <w:rsid w:val="004B372E"/>
    <w:pPr>
      <w:outlineLvl w:val="1"/>
    </w:pPr>
    <w:rPr>
      <w:rFonts w:eastAsia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sid w:val="004B372E"/>
    <w:rPr>
      <w:rFonts w:ascii="Calibri" w:eastAsia="ＭＳ Ｐゴシック" w:hAnsi="Calibri" w:cs="ＭＳ Ｐゴシック"/>
      <w:kern w:val="0"/>
      <w:sz w:val="24"/>
      <w:szCs w:val="24"/>
      <w:lang w:eastAsia="zh-TW"/>
    </w:rPr>
  </w:style>
  <w:style w:type="character" w:styleId="a3">
    <w:name w:val="Hyperlink"/>
    <w:basedOn w:val="a0"/>
    <w:uiPriority w:val="99"/>
    <w:unhideWhenUsed/>
    <w:rsid w:val="004B37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372E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86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3C8"/>
    <w:rPr>
      <w:rFonts w:ascii="Calibri" w:hAnsi="Calibri" w:cs="Times New Roman"/>
      <w:kern w:val="0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886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3C8"/>
    <w:rPr>
      <w:rFonts w:ascii="Calibri" w:hAnsi="Calibri" w:cs="Times New Roman"/>
      <w:kern w:val="0"/>
      <w:sz w:val="24"/>
      <w:szCs w:val="24"/>
      <w:lang w:eastAsia="zh-TW"/>
    </w:rPr>
  </w:style>
  <w:style w:type="character" w:styleId="a8">
    <w:name w:val="Unresolved Mention"/>
    <w:basedOn w:val="a0"/>
    <w:uiPriority w:val="99"/>
    <w:semiHidden/>
    <w:unhideWhenUsed/>
    <w:rsid w:val="0000534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40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@educatha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chool-l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hoj6VHZLpQFmmxY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ms.gle/Jhoj6VHZLpQFmmxY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ucathai.com/events/conference/2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manabusato101@aol.com</dc:creator>
  <cp:keywords/>
  <dc:description/>
  <cp:lastModifiedBy>Manabu Sato</cp:lastModifiedBy>
  <cp:revision>4</cp:revision>
  <cp:lastPrinted>2019-07-19T03:34:00Z</cp:lastPrinted>
  <dcterms:created xsi:type="dcterms:W3CDTF">2019-07-19T07:24:00Z</dcterms:created>
  <dcterms:modified xsi:type="dcterms:W3CDTF">2019-08-15T01:59:00Z</dcterms:modified>
</cp:coreProperties>
</file>